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1 </w:t>
      </w:r>
      <w:r>
        <w:rPr>
          <w:sz w:val="24"/>
          <w:szCs w:val="24"/>
        </w:rPr>
        <w:t xml:space="preserve">к техническому заданию</w:t>
      </w:r>
      <w:r>
        <w:rPr>
          <w:sz w:val="24"/>
          <w:szCs w:val="24"/>
        </w:rPr>
        <w:t xml:space="preserve"> №___________ от_________________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tabs>
          <w:tab w:val="left" w:pos="8280" w:leader="none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>
        <w:rPr>
          <w:b/>
        </w:rPr>
      </w:r>
      <w:r>
        <w:rPr>
          <w:b/>
        </w:rPr>
      </w:r>
    </w:p>
    <w:p>
      <w:pPr>
        <w:pStyle w:val="954"/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</w:t>
      </w:r>
      <w:r>
        <w:rPr>
          <w:b/>
          <w:sz w:val="24"/>
          <w:szCs w:val="24"/>
        </w:rPr>
        <w:t xml:space="preserve">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35"/>
        <w:jc w:val="center"/>
        <w:tabs>
          <w:tab w:val="left" w:pos="1134" w:leader="none"/>
        </w:tabs>
      </w:pPr>
      <w:r>
        <w:t xml:space="preserve">ОКПД 33.14.11.000.002. Капитальный ремонт турбогенераторов Райчихинской ГРЭС, пгт Прогресс </w:t>
      </w:r>
      <w:r/>
    </w:p>
    <w:p>
      <w:pPr>
        <w:pStyle w:val="1035"/>
        <w:ind w:left="0"/>
        <w:tabs>
          <w:tab w:val="left" w:pos="1134" w:leader="none"/>
        </w:tabs>
      </w:pPr>
      <w:r>
        <w:rPr>
          <w:lang w:eastAsia="zh-CN"/>
        </w:rPr>
        <w:t xml:space="preserve">Требования к выполнению работ</w:t>
      </w:r>
      <w:r>
        <w:rPr>
          <w:lang w:eastAsia="zh-CN"/>
        </w:rPr>
        <w:t xml:space="preserve">:</w:t>
      </w:r>
      <w:r/>
    </w:p>
    <w:p>
      <w:pPr>
        <w:pStyle w:val="1035"/>
        <w:numPr>
          <w:ilvl w:val="1"/>
          <w:numId w:val="18"/>
        </w:numPr>
        <w:ind w:left="0" w:firstLine="720"/>
        <w:jc w:val="both"/>
        <w:tabs>
          <w:tab w:val="left" w:pos="1134" w:leader="none"/>
        </w:tabs>
      </w:pPr>
      <w:r>
        <w:t xml:space="preserve">Общие требования к выполнению работ</w:t>
      </w:r>
      <w:r/>
    </w:p>
    <w:p>
      <w:pPr>
        <w:pStyle w:val="1035"/>
        <w:numPr>
          <w:ilvl w:val="2"/>
          <w:numId w:val="18"/>
        </w:numPr>
        <w:ind w:left="0" w:firstLine="720"/>
        <w:jc w:val="both"/>
        <w:tabs>
          <w:tab w:val="left" w:pos="1134" w:leader="none"/>
        </w:tabs>
      </w:pPr>
      <w:r>
        <w:rPr>
          <w:iCs/>
          <w:highlight w:val="white"/>
        </w:rPr>
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</w:r>
      <w:r/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положение «Об организации и выполнению технического обслуживания и ремонта оборудования АО «ДГК»» №21-002-2019 (приказ АО «ДГК» от 29.11.2019г. №555);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методические указания по организации технического обслуживания и ремонта основного и вспомогательного оборудования, зданий и сооружений тепловых электростанций (приказ АО «ДГК» от 12.10.2022г. №587);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Правила организации технического обслуживания и ремонта объектов электроэнергетики (приказ МинЭнерго России от 25.10.2017г. №1013);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Правила технической эксплуатации электрических станций и сетей Российской Федерации. (утв. приказом Министерство энергетики РФ от 4.10.2022 г № 1070);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СТО РусГидро 02.01.62-2021 «Электрические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 (приказ АО «ДГК» от 18.01.2022г. №19);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СО 34.20.608-2003 (РД 153-34.0-20.608-2003) Методические указания. Проект производства работ для ремонта энергетического оборудования электростанций. Требования к составу, содержанию и оформлению.</w:t>
      </w:r>
      <w:r>
        <w:rPr>
          <w:iCs/>
        </w:rPr>
      </w:r>
      <w:r>
        <w:rPr>
          <w:iCs/>
        </w:rPr>
      </w:r>
    </w:p>
    <w:p>
      <w:pPr>
        <w:pStyle w:val="954"/>
        <w:ind w:left="0" w:right="0" w:firstLine="850"/>
        <w:jc w:val="both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Турбогенераторы. Общие технические условия на капитальный ремонт ТУ 34-38-20246-95.</w:t>
      </w:r>
      <w:r>
        <w:rPr>
          <w:sz w:val="24"/>
          <w:szCs w:val="24"/>
          <w:lang w:eastAsia="en-US"/>
        </w:rPr>
      </w:r>
      <w:r/>
    </w:p>
    <w:p>
      <w:pPr>
        <w:pStyle w:val="954"/>
        <w:ind w:left="0" w:right="0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Технические условия, технологические карты и проекты производства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ind w:left="0" w:right="0" w:firstLine="850"/>
        <w:jc w:val="both"/>
      </w:pPr>
      <w:r>
        <w:rPr>
          <w:sz w:val="24"/>
          <w:szCs w:val="24"/>
        </w:rPr>
        <w:t xml:space="preserve">- Правила по охране труда при погрузочно-разгрузочных работах и размещении грузов (утв. приказом Минтруда России от 17.09.2014 № 642н);</w:t>
      </w:r>
      <w:r>
        <w:rPr>
          <w:sz w:val="24"/>
          <w:szCs w:val="24"/>
          <w:lang w:eastAsia="en-US"/>
        </w:rPr>
      </w:r>
      <w:r/>
    </w:p>
    <w:p>
      <w:pPr>
        <w:pStyle w:val="95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Правила по охране труда при эксплуатации электроустановок (утв. Приказом Минтруда России от 24.07.2013 г. № 328н);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ind w:left="0" w:right="0" w:firstLine="709"/>
        <w:jc w:val="both"/>
      </w:pPr>
      <w:r>
        <w:rPr>
          <w:sz w:val="24"/>
          <w:szCs w:val="24"/>
        </w:rPr>
        <w:t xml:space="preserve">- СТО 17330282.27.100.006-2008 Ремонт и техобслуживание оборудования, зданий и сооружений электрических станций и сетей. Условия выполнения работ подрядными организациями. Нормы и требования;</w:t>
      </w:r>
      <w:r>
        <w:rPr>
          <w:sz w:val="24"/>
          <w:szCs w:val="24"/>
          <w:lang w:eastAsia="en-US"/>
        </w:rPr>
      </w:r>
      <w:r/>
    </w:p>
    <w:p>
      <w:pPr>
        <w:pStyle w:val="954"/>
        <w:ind w:left="0" w:right="0" w:firstLine="709"/>
        <w:jc w:val="both"/>
        <w:tabs>
          <w:tab w:val="left" w:pos="1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Положение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- 21-003-2016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техническому заданию)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об организации и выполнении технического обслуживания и ремонта оборудования АО «ДГК» - 21-002-2016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техническому заданию)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Положение по формированию и реализации ремонтных программ АО "ДГК" (Приложение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к техническому заданию).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СП 48.13330.2019. Свод правил. Организация строительства. СНиП 12-01-2004" (утв. и введен в действие Приказом Минстроя России от 24.12.2019 N 861/пр) (ред. от 28.03.2022).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СП 61.13330.2012 Тепловая изоляция оборудования и трубопроводов. Актуализированная редакция СНиП 41-03-2003 (ред. от 03.12.2016)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ГОСТ 16037-80. Соединения сварных стальных трубопроводов. Основные типы, кон</w:t>
      </w:r>
      <w:r>
        <w:rPr>
          <w:iCs/>
        </w:rPr>
        <w:t xml:space="preserve">структивные элементы и размеры </w:t>
      </w:r>
      <w:r>
        <w:rPr>
          <w:iCs/>
        </w:rPr>
        <w:t xml:space="preserve">(ред. от 01.12.1990).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0"/>
          <w:numId w:val="30"/>
        </w:numPr>
        <w:ind w:left="0" w:firstLine="709"/>
        <w:jc w:val="both"/>
        <w:spacing w:before="100" w:after="100"/>
        <w:widowControl w:val="off"/>
        <w:tabs>
          <w:tab w:val="left" w:pos="458" w:leader="none"/>
          <w:tab w:val="left" w:pos="600" w:leader="none"/>
          <w:tab w:val="left" w:pos="993" w:leader="none"/>
        </w:tabs>
        <w:rPr>
          <w:iCs/>
        </w:rPr>
      </w:pPr>
      <w:r>
        <w:rPr>
          <w:iCs/>
        </w:rPr>
        <w:t xml:space="preserve">Производственными </w:t>
      </w:r>
      <w:r>
        <w:rPr>
          <w:iCs/>
        </w:rPr>
        <w:t xml:space="preserve">инструкциями и </w:t>
      </w:r>
      <w:r>
        <w:rPr>
          <w:iCs/>
        </w:rPr>
        <w:t xml:space="preserve">проектами производства работ;</w:t>
      </w:r>
      <w:r>
        <w:rPr>
          <w:iCs/>
        </w:rPr>
      </w:r>
      <w:r>
        <w:rPr>
          <w:iCs/>
        </w:rPr>
      </w:r>
    </w:p>
    <w:p>
      <w:pPr>
        <w:pStyle w:val="1035"/>
        <w:numPr>
          <w:ilvl w:val="1"/>
          <w:numId w:val="18"/>
        </w:numPr>
        <w:ind w:left="0" w:firstLine="993"/>
        <w:jc w:val="both"/>
        <w:tabs>
          <w:tab w:val="left" w:pos="1134" w:leader="none"/>
        </w:tabs>
      </w:pPr>
      <w:r>
        <w:rPr>
          <w:highlight w:val="white"/>
        </w:rPr>
        <w:t xml:space="preserve">Требования к организации работ</w:t>
      </w:r>
      <w:r/>
    </w:p>
    <w:p>
      <w:pPr>
        <w:pStyle w:val="1035"/>
        <w:numPr>
          <w:ilvl w:val="2"/>
          <w:numId w:val="18"/>
        </w:numPr>
        <w:ind w:left="0" w:firstLine="720"/>
        <w:jc w:val="both"/>
        <w:tabs>
          <w:tab w:val="left" w:pos="1134" w:leader="none"/>
        </w:tabs>
      </w:pPr>
      <w:r>
        <w:rPr>
          <w:highlight w:val="white"/>
        </w:rPr>
        <w:t xml:space="preserve">Требования к организации процесса выполнения работ:</w:t>
      </w:r>
      <w:r/>
    </w:p>
    <w:p>
      <w:pPr>
        <w:pStyle w:val="954"/>
        <w:ind w:firstLine="720"/>
        <w:jc w:val="both"/>
        <w:spacing w:before="60"/>
        <w:tabs>
          <w:tab w:val="left" w:pos="426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Комплекс организационно–технических мероприятий, выпол</w:t>
      </w:r>
      <w:r>
        <w:rPr>
          <w:bCs/>
          <w:sz w:val="24"/>
          <w:szCs w:val="24"/>
          <w:highlight w:val="white"/>
        </w:rPr>
        <w:t xml:space="preserve">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 И</w:t>
      </w:r>
      <w:r>
        <w:rPr>
          <w:bCs/>
          <w:sz w:val="24"/>
          <w:szCs w:val="24"/>
          <w:highlight w:val="white"/>
        </w:rPr>
        <w:t xml:space="preserve">сполнители ремонта разрабатывают проект производства работ,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954"/>
        <w:ind w:firstLine="720"/>
        <w:jc w:val="both"/>
        <w:spacing w:before="60"/>
        <w:tabs>
          <w:tab w:val="left" w:pos="426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Изменения объемов работ, предусмотренных ведомостью планируемых работ, оформляются в соответств</w:t>
      </w:r>
      <w:r>
        <w:rPr>
          <w:bCs/>
          <w:sz w:val="24"/>
          <w:szCs w:val="24"/>
          <w:highlight w:val="white"/>
        </w:rPr>
        <w:t xml:space="preserve">ии с требованиями Правил ТОиР (ведомостью дополнительных работ по ремонту и протоколом исключения работ из ведомости планируемых работ по ремонту), согласовываются с исполнителями и утверждаются техническим руководителем структурного подразделения, ответст</w:t>
      </w:r>
      <w:r>
        <w:rPr>
          <w:bCs/>
          <w:sz w:val="24"/>
          <w:szCs w:val="24"/>
          <w:highlight w:val="white"/>
        </w:rPr>
        <w:t xml:space="preserve">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954"/>
        <w:ind w:firstLine="720"/>
        <w:jc w:val="both"/>
        <w:spacing w:before="60"/>
        <w:tabs>
          <w:tab w:val="left" w:pos="426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 начала ремонта Подрядчик: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Разрабатывает и согласовывает с Заказчиком Проект производства работ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проводят проверку выполнения подготовительных работ в соответствии с планом подготовки к ремонту.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определяет состав бригад (участков) по ремонту отдельных узлов (систем, </w:t>
      </w:r>
      <w:r>
        <w:rPr>
          <w:rFonts w:eastAsia="Calibri"/>
          <w:bCs/>
          <w:sz w:val="24"/>
          <w:szCs w:val="24"/>
          <w:highlight w:val="white"/>
        </w:rPr>
        <w:t xml:space="preserve">конструкций</w:t>
      </w:r>
      <w:r>
        <w:rPr>
          <w:rFonts w:eastAsia="Calibri"/>
          <w:bCs/>
          <w:sz w:val="24"/>
          <w:szCs w:val="24"/>
          <w:highlight w:val="white"/>
        </w:rPr>
        <w:t xml:space="preserve">) по численности, квалификации и профессиям в соответствии с сетевым графиком ремонта. При этом должна быть обеспечена полная занятость рабочих в течение установленных графиком сроков производства работ; 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назначает руководителей работ по ремонту отдельных объектов в соответствии с номенклатурой и объемом работ, принятым по договору;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назначает лиц, ответственных за соблюдение норм и правил в области охраны труда, электробезопасности, пожарной и промышленной безопасности и материально–техническое обеспечение; 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проверяет удостоверения сварщиков, стропальщиков, крановщиков, дефектоскопистов и лиц других специальностей на право выполнения работ при ремонте объектов;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bCs/>
          <w:sz w:val="24"/>
          <w:szCs w:val="24"/>
          <w:highlight w:val="white"/>
        </w:rPr>
      </w:pPr>
      <w:r>
        <w:rPr>
          <w:rFonts w:eastAsia="Calibri"/>
          <w:bCs/>
          <w:sz w:val="24"/>
          <w:szCs w:val="24"/>
          <w:highlight w:val="white"/>
        </w:rPr>
        <w:t xml:space="preserve">проверяет выполнение требований допуска ремонтного и командированного персонала, предусмотренного п. 1.2.2 Технического задания</w:t>
      </w:r>
      <w:r>
        <w:rPr>
          <w:rFonts w:eastAsia="Calibri"/>
          <w:bCs/>
          <w:sz w:val="24"/>
          <w:szCs w:val="24"/>
          <w:highlight w:val="white"/>
        </w:rPr>
      </w:r>
      <w:r>
        <w:rPr>
          <w:rFonts w:eastAsia="Calibri"/>
          <w:bCs/>
          <w:sz w:val="24"/>
          <w:szCs w:val="24"/>
          <w:highlight w:val="white"/>
        </w:rPr>
      </w:r>
    </w:p>
    <w:p>
      <w:pPr>
        <w:pStyle w:val="954"/>
        <w:ind w:firstLine="851"/>
        <w:jc w:val="both"/>
        <w:spacing w:before="60"/>
        <w:tabs>
          <w:tab w:val="left" w:pos="426" w:leader="none"/>
        </w:tabs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t xml:space="preserve">Применяемые при работах механизмы и грузоподъемны</w:t>
      </w:r>
      <w:r>
        <w:rPr>
          <w:rFonts w:eastAsia="Calibri"/>
          <w:iCs/>
          <w:sz w:val="24"/>
          <w:szCs w:val="24"/>
        </w:rPr>
        <w:t xml:space="preserve">е машины (в соответствии с разрабатываемым Подрядчиком ППР), приспособления и инструмент должны быть испытаны и эксплуатироваться в соответствии с требованиями стандартов безопасности труда, правил Ростехнадзора, а также инструкций заводов – изготовителей.</w:t>
      </w:r>
      <w:r>
        <w:rPr>
          <w:rFonts w:eastAsia="Calibri"/>
          <w:iCs/>
          <w:sz w:val="24"/>
          <w:szCs w:val="24"/>
        </w:rPr>
      </w:r>
      <w:r>
        <w:rPr>
          <w:rFonts w:eastAsia="Calibri"/>
          <w:iCs/>
          <w:sz w:val="24"/>
          <w:szCs w:val="24"/>
        </w:rPr>
      </w:r>
    </w:p>
    <w:p>
      <w:pPr>
        <w:pStyle w:val="954"/>
        <w:numPr>
          <w:ilvl w:val="0"/>
          <w:numId w:val="19"/>
        </w:numPr>
        <w:contextualSpacing/>
        <w:ind w:left="0" w:firstLine="720"/>
        <w:jc w:val="both"/>
        <w:spacing w:before="60"/>
        <w:widowControl w:val="off"/>
        <w:tabs>
          <w:tab w:val="left" w:pos="426" w:leader="none"/>
          <w:tab w:val="left" w:pos="1134" w:leader="none"/>
        </w:tabs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</w:r>
      <w:r>
        <w:rPr>
          <w:rFonts w:eastAsia="Calibri"/>
          <w:iCs/>
          <w:sz w:val="24"/>
          <w:szCs w:val="24"/>
        </w:rPr>
      </w:r>
      <w:r>
        <w:rPr>
          <w:rFonts w:eastAsia="Calibri"/>
          <w:iCs/>
          <w:sz w:val="24"/>
          <w:szCs w:val="24"/>
        </w:rPr>
      </w:r>
    </w:p>
    <w:p>
      <w:pPr>
        <w:pStyle w:val="1035"/>
        <w:numPr>
          <w:ilvl w:val="2"/>
          <w:numId w:val="18"/>
        </w:numPr>
        <w:ind w:left="0" w:firstLine="720"/>
        <w:jc w:val="both"/>
        <w:tabs>
          <w:tab w:val="left" w:pos="1134" w:leader="none"/>
        </w:tabs>
      </w:pPr>
      <w:r>
        <w:rPr>
          <w:iCs/>
          <w:highlight w:val="white"/>
        </w:rPr>
        <w:t xml:space="preserve">Организационно-технические мероприятия по допуску персонала подрядчика</w:t>
      </w:r>
      <w:r/>
    </w:p>
    <w:p>
      <w:pPr>
        <w:pStyle w:val="1035"/>
        <w:numPr>
          <w:ilvl w:val="0"/>
          <w:numId w:val="20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rFonts w:eastAsia="Calibri"/>
          <w:bCs/>
          <w:highlight w:val="white"/>
        </w:rPr>
      </w:pPr>
      <w:r>
        <w:rPr>
          <w:rFonts w:eastAsia="Calibri"/>
          <w:bCs/>
          <w:highlight w:val="white"/>
        </w:rPr>
        <w:t xml:space="preserve">Допуск персонала подрядчика для вы</w:t>
      </w:r>
      <w:r>
        <w:rPr>
          <w:rFonts w:eastAsia="Calibri"/>
          <w:bCs/>
          <w:highlight w:val="white"/>
        </w:rPr>
        <w:t xml:space="preserve">полнения работ должен осуществляться в соответствии с: Положением о допуске персонала строительно-монтажных организаций и командированного персонала к выполнению работ на объектах АО «ДГК» №22.1-504-2022 (утверждено приказом АО «ДГК» №244 от 28.04.2022г.).</w:t>
      </w:r>
      <w:r>
        <w:rPr>
          <w:rFonts w:eastAsia="Calibri"/>
          <w:bCs/>
          <w:highlight w:val="white"/>
        </w:rPr>
      </w:r>
      <w:r>
        <w:rPr>
          <w:rFonts w:eastAsia="Calibri"/>
          <w:bCs/>
          <w:highlight w:val="white"/>
        </w:rPr>
      </w:r>
    </w:p>
    <w:p>
      <w:pPr>
        <w:pStyle w:val="1035"/>
        <w:numPr>
          <w:ilvl w:val="0"/>
          <w:numId w:val="20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rFonts w:eastAsia="Calibri"/>
          <w:bCs/>
          <w:highlight w:val="white"/>
        </w:rPr>
      </w:pPr>
      <w:r>
        <w:rPr>
          <w:rFonts w:eastAsia="Calibri"/>
          <w:bCs/>
          <w:highlight w:val="white"/>
        </w:rPr>
        <w:t xml:space="preserve">Инструкция о пропускном и внутриобъектовом режимах на объектах АО «ДГК»; с обязательным оформлением необходимых нарядов-допусков</w:t>
      </w:r>
      <w:r>
        <w:rPr>
          <w:rFonts w:eastAsia="Calibri"/>
          <w:bCs/>
          <w:highlight w:val="white"/>
        </w:rPr>
      </w:r>
      <w:r>
        <w:rPr>
          <w:rFonts w:eastAsia="Calibri"/>
          <w:bCs/>
          <w:highlight w:val="white"/>
        </w:rPr>
      </w:r>
    </w:p>
    <w:p>
      <w:pPr>
        <w:pStyle w:val="1035"/>
        <w:numPr>
          <w:ilvl w:val="1"/>
          <w:numId w:val="18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rFonts w:eastAsia="Calibri"/>
          <w:bCs/>
          <w:highlight w:val="white"/>
        </w:rPr>
      </w:pPr>
      <w:r>
        <w:rPr>
          <w:highlight w:val="white"/>
        </w:rPr>
        <w:t xml:space="preserve">Требования к используемым материально – техническим ресурсам</w:t>
      </w:r>
      <w:r>
        <w:rPr>
          <w:highlight w:val="white"/>
        </w:rPr>
        <w:t xml:space="preserve">, контролю качества работ и материалов</w:t>
      </w:r>
      <w:r>
        <w:rPr>
          <w:rFonts w:eastAsia="Calibri"/>
          <w:bCs/>
          <w:highlight w:val="white"/>
        </w:rPr>
      </w:r>
      <w:r>
        <w:rPr>
          <w:rFonts w:eastAsia="Calibri"/>
          <w:bCs/>
          <w:highlight w:val="white"/>
        </w:rPr>
      </w:r>
    </w:p>
    <w:p>
      <w:pPr>
        <w:pStyle w:val="1035"/>
        <w:ind w:left="0" w:firstLine="709"/>
        <w:jc w:val="both"/>
        <w:tabs>
          <w:tab w:val="left" w:pos="1134" w:leader="none"/>
        </w:tabs>
        <w:rPr>
          <w:rFonts w:eastAsia="Calibri"/>
          <w:iCs/>
          <w:highlight w:val="white"/>
        </w:rPr>
      </w:pPr>
      <w:r>
        <w:t xml:space="preserve"> 1.3.1.</w:t>
        <w:tab/>
        <w:t xml:space="preserve">В соответствии с законом № 184-ФЗ «О техническом регулировании» Подрядчик принимает на себя добровольное обязательство</w:t>
      </w:r>
      <w:r>
        <w:t xml:space="preserve"> о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</w:t>
      </w:r>
      <w:r>
        <w:rPr>
          <w:iCs/>
        </w:rPr>
        <w:t xml:space="preserve">.</w:t>
      </w:r>
      <w:r>
        <w:rPr>
          <w:rFonts w:eastAsia="Calibri"/>
          <w:iCs/>
          <w:highlight w:val="white"/>
        </w:rPr>
      </w:r>
      <w:r>
        <w:rPr>
          <w:rFonts w:eastAsia="Calibri"/>
          <w:iCs/>
          <w:highlight w:val="white"/>
        </w:rPr>
      </w:r>
    </w:p>
    <w:p>
      <w:pPr>
        <w:pStyle w:val="1035"/>
        <w:ind w:left="0" w:firstLine="709"/>
        <w:jc w:val="both"/>
        <w:tabs>
          <w:tab w:val="left" w:pos="1134" w:leader="none"/>
        </w:tabs>
      </w:pPr>
      <w:r>
        <w:rPr>
          <w:iCs/>
        </w:rPr>
        <w:t xml:space="preserve">1.3.2.</w:t>
        <w:tab/>
        <w:t xml:space="preserve">Руководители работ подрядных организаций, участвующие в производстве Работ совместно с </w:t>
      </w:r>
      <w:r>
        <w:rPr>
          <w:iCs/>
        </w:rPr>
        <w:t xml:space="preserve">представителями Заказчика,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</w:t>
      </w:r>
      <w:r>
        <w:rPr>
          <w:highlight w:val="white"/>
        </w:rPr>
        <w:t xml:space="preserve">.</w:t>
      </w:r>
      <w:r>
        <w:rPr>
          <w:iCs/>
        </w:rPr>
        <w:t xml:space="preserve"> </w:t>
      </w:r>
      <w:r>
        <w:rPr>
          <w:iCs/>
        </w:rPr>
        <w:t xml:space="preserve">Подробно указаны в проекте договора подря</w:t>
      </w:r>
      <w:r>
        <w:rPr>
          <w:iCs/>
        </w:rPr>
        <w:t xml:space="preserve">да (в том числе в разделе № 2)</w:t>
      </w:r>
      <w:r>
        <w:rPr>
          <w:iCs/>
        </w:rPr>
        <w:t xml:space="preserve">, в соответствии с разделами №4.2 «Положения об организации контроля и приемке выполненных работ на ремонтируемых объектах, объектах модернизации, реконструкции и техническог</w:t>
      </w:r>
      <w:r>
        <w:rPr>
          <w:iCs/>
        </w:rPr>
        <w:t xml:space="preserve">о перевооружения - 21-003-2019».</w:t>
      </w:r>
      <w:r/>
    </w:p>
    <w:p>
      <w:pPr>
        <w:pStyle w:val="1035"/>
        <w:numPr>
          <w:ilvl w:val="1"/>
          <w:numId w:val="18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Требования к безопасности работ и охране труда</w:t>
      </w:r>
      <w:r>
        <w:rPr>
          <w:highlight w:val="white"/>
        </w:rPr>
      </w:r>
      <w:r>
        <w:rPr>
          <w:highlight w:val="white"/>
        </w:rPr>
      </w:r>
    </w:p>
    <w:p>
      <w:pPr>
        <w:pStyle w:val="1035"/>
        <w:numPr>
          <w:ilvl w:val="2"/>
          <w:numId w:val="18"/>
        </w:numPr>
        <w:ind w:left="0" w:firstLine="720"/>
        <w:jc w:val="both"/>
        <w:tabs>
          <w:tab w:val="left" w:pos="1134" w:leader="none"/>
        </w:tabs>
      </w:pPr>
      <w:r>
        <w:rPr>
          <w:rFonts w:eastAsia="Calibri"/>
        </w:rPr>
        <w:t xml:space="preserve">Требования к безопасности выполняемых работ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СНиП 12-03-2001 «Безопасность труда в строительстве» Часть 1. Общие требования. Приняты и введены в действие Постановлением Госстроя РФ от 23.07.2001 г. №80;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СО 34.03.201-97 (РД 34.03.201-97) Правила техники безопасности при эксплуатации тепломеханического оборудования электростанций и тепловых сетей.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"Правила промышленной безопасности при использовании оборудования, работающего под избыточным давлением" утвержденные приказом Федеральной службой по экологическому, технологическому и атомному надзору от 15.12.2020 г. № 536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"Правила безопасности опасных производственных объектов, на которых используются подъемные сооружения" утвержденные приказом Федеральной службой по экологическому и атомному надзору от 26.11.2020 г. № 461.;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</w:pPr>
      <w:r>
        <w:t xml:space="preserve">Подробно указаны в проекте договора подря</w:t>
      </w:r>
      <w:r>
        <w:t xml:space="preserve">да (в том числе в разделе № 2).</w:t>
      </w:r>
      <w:r/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  <w:rPr>
          <w:bCs/>
          <w:iCs/>
          <w:highlight w:val="white"/>
        </w:rPr>
      </w:pPr>
      <w: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</w:r>
      <w:r>
        <w:rPr>
          <w:bCs/>
          <w:iCs/>
          <w:highlight w:val="white"/>
        </w:rPr>
      </w:r>
      <w:r>
        <w:rPr>
          <w:bCs/>
          <w:iCs/>
          <w:highlight w:val="white"/>
        </w:rPr>
      </w:r>
    </w:p>
    <w:p>
      <w:pPr>
        <w:pStyle w:val="1035"/>
        <w:numPr>
          <w:ilvl w:val="0"/>
          <w:numId w:val="32"/>
        </w:numPr>
        <w:ind w:left="0" w:firstLine="709"/>
        <w:jc w:val="both"/>
        <w:spacing w:before="60"/>
        <w:widowControl w:val="off"/>
        <w:tabs>
          <w:tab w:val="left" w:pos="318" w:leader="none"/>
          <w:tab w:val="left" w:pos="1134" w:leader="none"/>
        </w:tabs>
        <w:rPr>
          <w:bCs/>
          <w:iCs/>
          <w:highlight w:val="white"/>
        </w:rPr>
      </w:pPr>
      <w:r>
        <w:rPr>
          <w:highlight w:val="white"/>
        </w:rPr>
        <w:t xml:space="preserve">Требования к безопасности работ и охране труда</w:t>
      </w:r>
      <w:r>
        <w:rPr>
          <w:bCs/>
          <w:iCs/>
          <w:highlight w:val="white"/>
        </w:rPr>
      </w:r>
      <w:r>
        <w:rPr>
          <w:bCs/>
          <w:iCs/>
          <w:highlight w:val="white"/>
        </w:rPr>
      </w:r>
    </w:p>
    <w:p>
      <w:pPr>
        <w:pStyle w:val="1035"/>
        <w:numPr>
          <w:ilvl w:val="2"/>
          <w:numId w:val="18"/>
        </w:numPr>
        <w:ind w:left="0" w:firstLine="720"/>
        <w:jc w:val="both"/>
        <w:spacing w:before="100" w:after="100"/>
        <w:widowControl w:val="off"/>
        <w:tabs>
          <w:tab w:val="left" w:pos="567" w:leader="none"/>
          <w:tab w:val="left" w:pos="1134" w:leader="none"/>
        </w:tabs>
      </w:pPr>
      <w:r/>
      <w:bookmarkStart w:id="1" w:name="_Toc129956747"/>
      <w:r>
        <w:rPr>
          <w:rFonts w:eastAsia="Calibri"/>
          <w:highlight w:val="white"/>
        </w:rPr>
        <w:t xml:space="preserve">Соблюдение требований к пожарной безопасности</w:t>
      </w:r>
      <w:bookmarkEnd w:id="1"/>
      <w:r>
        <w:rPr>
          <w:iCs/>
          <w:highlight w:val="white"/>
        </w:rPr>
      </w:r>
      <w:r/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/>
      <w:bookmarkStart w:id="2" w:name="_Toc129956748"/>
      <w:r>
        <w:rPr>
          <w:iCs/>
          <w:sz w:val="24"/>
          <w:szCs w:val="24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numPr>
          <w:ilvl w:val="0"/>
          <w:numId w:val="22"/>
        </w:numPr>
        <w:ind w:left="0" w:firstLine="720"/>
        <w:jc w:val="both"/>
        <w:widowControl w:val="off"/>
        <w:tabs>
          <w:tab w:val="left" w:pos="487" w:leader="none"/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Правилах противопожарного режима в Российской Федерации, утверждены Постановлением Правительства РФ от 16.09.2020 № 1479;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Место производства работ должно быть оснащено средствами пожаротушения. 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1035"/>
        <w:numPr>
          <w:ilvl w:val="2"/>
          <w:numId w:val="18"/>
        </w:numPr>
        <w:ind w:hanging="1451"/>
        <w:jc w:val="both"/>
        <w:tabs>
          <w:tab w:val="left" w:pos="1134" w:leader="none"/>
        </w:tabs>
      </w:pPr>
      <w:r/>
      <w:bookmarkEnd w:id="2"/>
      <w:r/>
      <w:bookmarkStart w:id="3" w:name="_Toc129956749"/>
      <w:r>
        <w:rPr>
          <w:rFonts w:eastAsia="Calibri"/>
          <w:highlight w:val="white"/>
        </w:rPr>
        <w:t xml:space="preserve">Соблюдение требований охраны труда</w:t>
      </w:r>
      <w:bookmarkEnd w:id="3"/>
      <w:r/>
      <w:r/>
    </w:p>
    <w:p>
      <w:pPr>
        <w:pStyle w:val="954"/>
        <w:ind w:firstLine="720"/>
        <w:jc w:val="both"/>
        <w:tabs>
          <w:tab w:val="left" w:pos="567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ind w:left="0" w:firstLine="720"/>
        <w:jc w:val="both"/>
        <w:widowControl w:val="off"/>
        <w:tabs>
          <w:tab w:val="left" w:pos="567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Правилах по охране труда при работе с инструментом и приспособлениями (утверждены приказом Министерства труда от 27.11.2020 № 835н);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ind w:left="0" w:firstLine="720"/>
        <w:jc w:val="both"/>
        <w:widowControl w:val="off"/>
        <w:tabs>
          <w:tab w:val="left" w:pos="567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ind w:left="0" w:firstLine="720"/>
        <w:jc w:val="both"/>
        <w:widowControl w:val="off"/>
        <w:tabs>
          <w:tab w:val="left" w:pos="567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№903н. 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 по охране труда при обработке металлов (утв. приказом Министерства труда и социальной защиты Российской Федерации от 11.12.2020г. №887н);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1036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Правила по охране труда при эксплуатации электроустановок, Утверждено Приказом Минтруда РФ №328н от 24.07.2013г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iCs/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 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0"/>
          <w:numId w:val="22"/>
        </w:numPr>
        <w:contextualSpacing/>
        <w:ind w:left="0" w:firstLine="720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№461).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numPr>
          <w:ilvl w:val="1"/>
          <w:numId w:val="18"/>
        </w:numPr>
        <w:contextualSpacing/>
        <w:ind w:left="0" w:firstLine="709"/>
        <w:jc w:val="both"/>
        <w:tabs>
          <w:tab w:val="left" w:pos="313" w:leader="none"/>
          <w:tab w:val="left" w:pos="413" w:leader="none"/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Требования к персоналу Подрядчика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1035"/>
        <w:numPr>
          <w:ilvl w:val="2"/>
          <w:numId w:val="18"/>
        </w:numPr>
        <w:ind w:left="0" w:firstLine="709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Квалификация персонала должна соответствовать видам выполняемых работ и располагать: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276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276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- достаточным количеством аттестованного персонала, организованного по принципу комплексных специализированных бригад.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Подрядчик должен: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276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- 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подряда);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414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Во время проведения работ команда ИТР Подрядчика должна поддерживать на должном уровне систему управ</w:t>
      </w:r>
      <w:r>
        <w:rPr>
          <w:iCs/>
          <w:highlight w:val="white"/>
        </w:rPr>
        <w:t xml:space="preserve">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 и т.д.).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276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До начала проведения работ в рамках исполнения договора после его заключения подрядчик предоставляет список персонала: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134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 - с указани</w:t>
      </w:r>
      <w:r>
        <w:rPr>
          <w:iCs/>
          <w:highlight w:val="white"/>
        </w:rPr>
        <w:t xml:space="preserve">ем сведений о квалификации персонала, разряде и группе по электробезопасности с приложением копий  удостоверений на производство специальных видов работ (огневых, грузоподъемных, работ с электро - и пневмоинструментом) (возможно совмещение специальностей);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1035"/>
        <w:ind w:left="0" w:firstLine="1134"/>
        <w:jc w:val="both"/>
        <w:tabs>
          <w:tab w:val="left" w:pos="1134" w:leader="none"/>
        </w:tabs>
        <w:rPr>
          <w:iCs/>
          <w:highlight w:val="white"/>
        </w:rPr>
      </w:pPr>
      <w:r>
        <w:rPr>
          <w:iCs/>
          <w:highlight w:val="white"/>
        </w:rPr>
        <w:t xml:space="preserve">- свидетельства (заверенную. копию.) о готовности организации-заявителя к использованию аттестованной технологии сварки в соответствии с приказом Ростехнадзора от 11.12.</w:t>
      </w:r>
      <w:r>
        <w:rPr>
          <w:iCs/>
          <w:highlight w:val="white"/>
        </w:rPr>
        <w:t xml:space="preserve">2020г №519 (в редакции, введенной в действие приказом Ростенхнадзора от 03 февраля 2023 года №44) «Об утверждении федеральных норм и правил в области промышленной безопасности «Требования к производству сварочных работ на опасных производственных объектах»</w:t>
      </w:r>
      <w:r>
        <w:rPr>
          <w:iCs/>
          <w:highlight w:val="white"/>
        </w:rPr>
      </w:r>
      <w:r>
        <w:rPr>
          <w:iCs/>
          <w:highlight w:val="white"/>
        </w:rPr>
      </w:r>
    </w:p>
    <w:p>
      <w:pPr>
        <w:pStyle w:val="954"/>
        <w:numPr>
          <w:ilvl w:val="1"/>
          <w:numId w:val="18"/>
        </w:numPr>
        <w:ind w:left="0" w:firstLine="709"/>
        <w:jc w:val="both"/>
        <w:tabs>
          <w:tab w:val="left" w:pos="1134" w:leader="none"/>
          <w:tab w:val="left" w:pos="1418" w:leader="none"/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Требования к результатам работ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954"/>
        <w:ind w:firstLine="708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Состояние оборудования после ремонта должно соответствовать нормативно – технической документации и обеспечить безотказную работу с момента включения оборудования после ремонта под нагрузку.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numPr>
          <w:ilvl w:val="1"/>
          <w:numId w:val="18"/>
        </w:numPr>
        <w:ind w:left="0" w:firstLine="709"/>
        <w:jc w:val="both"/>
        <w:tabs>
          <w:tab w:val="left" w:pos="1134" w:leader="none"/>
          <w:tab w:val="left" w:pos="1418" w:leader="none"/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Требования к порядку приемки результатов работ</w:t>
      </w:r>
      <w:r>
        <w:rPr>
          <w:bCs/>
          <w:sz w:val="24"/>
          <w:szCs w:val="24"/>
          <w:highlight w:val="white"/>
        </w:rPr>
        <w:t xml:space="preserve">. </w:t>
      </w:r>
      <w:r>
        <w:rPr>
          <w:bCs/>
          <w:sz w:val="24"/>
          <w:szCs w:val="24"/>
          <w:highlight w:val="white"/>
        </w:rPr>
        <w:t xml:space="preserve">Требования указаны</w:t>
      </w:r>
      <w:r>
        <w:rPr>
          <w:bCs/>
          <w:sz w:val="24"/>
          <w:szCs w:val="24"/>
          <w:highlight w:val="white"/>
        </w:rPr>
        <w:t xml:space="preserve"> в проекте договора подряда (в том числе в разделе № 4).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highlight w:val="white"/>
        </w:rPr>
        <w:t xml:space="preserve">Требования к оформлению документации</w:t>
      </w:r>
      <w:r>
        <w:rPr>
          <w:iCs/>
          <w:sz w:val="24"/>
          <w:szCs w:val="24"/>
          <w:highlight w:val="white"/>
        </w:rPr>
        <w:t xml:space="preserve"> 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rFonts w:eastAsia="Calibri"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2</w:t>
      </w:r>
      <w:r>
        <w:rPr>
          <w:iCs/>
          <w:sz w:val="24"/>
          <w:szCs w:val="24"/>
          <w:highlight w:val="white"/>
        </w:rPr>
        <w:t xml:space="preserve">.1. </w:t>
      </w:r>
      <w:r>
        <w:rPr>
          <w:rFonts w:eastAsia="Calibri"/>
          <w:sz w:val="24"/>
          <w:szCs w:val="24"/>
          <w:highlight w:val="white"/>
        </w:rPr>
        <w:t xml:space="preserve">Общие требования к оформлению документации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</w:rPr>
        <w:t xml:space="preserve">Представить Зак</w:t>
      </w:r>
      <w:r>
        <w:rPr>
          <w:iCs/>
          <w:sz w:val="24"/>
          <w:szCs w:val="24"/>
        </w:rPr>
        <w:t xml:space="preserve">азчику с актами выполненных работ (в 3 (трёх) экземплярах, а также электронные версии Акта КС-2 и Справки КС-3 в формате *gsfx ПК «ГРАНД Сметы» на цифровом носителе) исполнительную документацию в электронном виде (в формате *.pdf) и на бумажном носителе в </w:t>
      </w:r>
      <w:r>
        <w:rPr>
          <w:iCs/>
          <w:sz w:val="24"/>
          <w:szCs w:val="24"/>
        </w:rPr>
        <w:t xml:space="preserve">3</w:t>
      </w:r>
      <w:r>
        <w:rPr>
          <w:iCs/>
          <w:sz w:val="24"/>
          <w:szCs w:val="24"/>
        </w:rPr>
        <w:t xml:space="preserve">-х экземплярах. Исполнительная документация должна быть оформлена в соответств</w:t>
      </w:r>
      <w:r>
        <w:rPr>
          <w:iCs/>
          <w:sz w:val="24"/>
          <w:szCs w:val="24"/>
        </w:rPr>
        <w:t xml:space="preserve">ии с 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строительства», РД 11-05-2007 «Порядок ведения общего и специального журнала учёта выполнения</w:t>
      </w:r>
      <w:r>
        <w:rPr>
          <w:iCs/>
          <w:sz w:val="24"/>
          <w:szCs w:val="24"/>
        </w:rPr>
        <w:t xml:space="preserve"> работ при строительстве, реконструкции, капитальном ремонте объектов капитального строительства», регламентом оформления документации при проведении сварочных работ при монтаже и ремонте оборудования объектов АО «ДГК»» (приказ АО «ДК» от 15.05.2023г. №340</w:t>
      </w:r>
      <w:r>
        <w:rPr>
          <w:iCs/>
          <w:sz w:val="24"/>
          <w:szCs w:val="24"/>
          <w:highlight w:val="white"/>
        </w:rPr>
        <w:t xml:space="preserve">.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rFonts w:eastAsia="Calibri"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2</w:t>
      </w:r>
      <w:r>
        <w:rPr>
          <w:iCs/>
          <w:sz w:val="24"/>
          <w:szCs w:val="24"/>
          <w:highlight w:val="white"/>
        </w:rPr>
        <w:t xml:space="preserve">.2. </w:t>
      </w:r>
      <w:r>
        <w:rPr>
          <w:rFonts w:eastAsia="Calibri"/>
          <w:sz w:val="24"/>
          <w:szCs w:val="24"/>
          <w:highlight w:val="white"/>
        </w:rPr>
        <w:t xml:space="preserve">Состав</w:t>
      </w:r>
      <w:r>
        <w:rPr>
          <w:rFonts w:eastAsia="Calibri"/>
          <w:sz w:val="24"/>
          <w:szCs w:val="24"/>
          <w:highlight w:val="white"/>
        </w:rPr>
        <w:t xml:space="preserve"> исполнительной и сдаточной </w:t>
      </w:r>
      <w:r>
        <w:rPr>
          <w:rFonts w:eastAsia="Calibri"/>
          <w:sz w:val="24"/>
          <w:szCs w:val="24"/>
          <w:highlight w:val="white"/>
        </w:rPr>
        <w:t xml:space="preserve">документации включает в себя, но не ограничивается следующими документами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  <w:t xml:space="preserve">Подрядчик одновременно с передачей актов приемки выполненных работ по форме КС-2 обязан оформить и передать Заказчик</w:t>
      </w:r>
      <w:r>
        <w:rPr>
          <w:iCs/>
          <w:sz w:val="24"/>
          <w:szCs w:val="24"/>
          <w:highlight w:val="white"/>
        </w:rPr>
        <w:t xml:space="preserve">у сдаточную документацию в соответствии с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перевооружения.», утвержденным приказом № 555 от 29.11.2019 г. АО «ДГК»</w:t>
      </w:r>
      <w:r>
        <w:rPr>
          <w:iCs/>
          <w:sz w:val="24"/>
          <w:szCs w:val="24"/>
          <w:highlight w:val="white"/>
        </w:rPr>
        <w:t xml:space="preserve">:</w:t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     </w:t>
      </w:r>
      <w:r>
        <w:rPr>
          <w:iCs/>
          <w:sz w:val="24"/>
          <w:szCs w:val="24"/>
        </w:rPr>
        <w:t xml:space="preserve">«</w:t>
      </w:r>
      <w:r>
        <w:rPr>
          <w:iCs/>
          <w:sz w:val="24"/>
          <w:szCs w:val="24"/>
        </w:rPr>
        <w:t xml:space="preserve">Ведомость выполненных работ» 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«Ведомость планируемых работ»;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« Акт дефектации, акт о выявленных дефектах»;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«Акт на приемку оборудования из ремонта»;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комиссионные акты входного контроля материалов (в произвольной форме) на соответствие продукции требованиям технической документации;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исполнительные схемы;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журнал работ формы КС6, специальные журналы работ (соответствующие видам выполняемых работ);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фото/видео материалы (при необходимости);.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</w:r>
      <w:r>
        <w:rPr>
          <w:iCs/>
          <w:sz w:val="24"/>
          <w:szCs w:val="24"/>
        </w:rPr>
        <w:tab/>
        <w:t xml:space="preserve">формуляры;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</w:t>
        <w:tab/>
        <w:t xml:space="preserve">табель учета рабочего времени Подрядчика;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    </w:t>
      </w:r>
      <w:r>
        <w:rPr>
          <w:iCs/>
          <w:sz w:val="24"/>
          <w:szCs w:val="24"/>
        </w:rPr>
        <w:t xml:space="preserve">другие документы по усмотрению Сторон с учетом специфики Работ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numPr>
          <w:ilvl w:val="0"/>
          <w:numId w:val="39"/>
        </w:numPr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Требования к оформлению и составлению документации по ценообразованию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Сметная документация разработана</w:t>
      </w:r>
      <w:r>
        <w:rPr>
          <w:iCs/>
          <w:sz w:val="24"/>
          <w:szCs w:val="24"/>
        </w:rPr>
        <w:t xml:space="preserve"> в программном комплексе «Гранд – Смета»</w:t>
      </w:r>
      <w:r>
        <w:rPr>
          <w:iCs/>
          <w:sz w:val="24"/>
          <w:szCs w:val="24"/>
        </w:rPr>
        <w:t xml:space="preserve">, согласно следующим ценовым показателям (критериям):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по Сборникам «Базовых цен на работы по ремонту энергетического оборудования, адекватные условиям функционирования конкурентного рынка услуг по ремонту и техперевооружению, с (доп.1-12)» с переводом в текущие цены поправочным индексом К=3</w:t>
      </w:r>
      <w:r>
        <w:rPr>
          <w:iCs/>
          <w:sz w:val="24"/>
          <w:szCs w:val="24"/>
        </w:rPr>
        <w:t xml:space="preserve">,3</w:t>
      </w:r>
      <w:r>
        <w:rPr>
          <w:iCs/>
          <w:sz w:val="24"/>
          <w:szCs w:val="24"/>
        </w:rPr>
        <w:t xml:space="preserve"> и индекс дефлятор 4,7 % </w:t>
      </w:r>
      <w:r>
        <w:rPr>
          <w:iCs/>
          <w:sz w:val="24"/>
          <w:szCs w:val="24"/>
        </w:rPr>
        <w:t xml:space="preserve">в состав которого входит надбавка к заработной плате за  непрерывный стаж работы, выслуге лет, Выплат</w:t>
      </w:r>
      <w:r>
        <w:rPr>
          <w:iCs/>
          <w:sz w:val="24"/>
          <w:szCs w:val="24"/>
        </w:rPr>
        <w:t xml:space="preserve">а</w:t>
      </w:r>
      <w:r>
        <w:rPr>
          <w:iCs/>
          <w:sz w:val="24"/>
          <w:szCs w:val="24"/>
        </w:rPr>
        <w:t xml:space="preserve"> по районному регулированию учтена дополнительно. 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993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в сметную стоимость включен резерв средств на командировочные затраты. В случае необходимости учета командировочных расходов, сумма принимаетс</w:t>
      </w:r>
      <w:r>
        <w:rPr>
          <w:iCs/>
          <w:sz w:val="24"/>
          <w:szCs w:val="24"/>
        </w:rPr>
        <w:t xml:space="preserve">я по фактически предоставленным документам, но в пределах величины учтенной в смете (суточные не более 500 руб., проживание не более 550 рублей, проезд: поезд (купе) или самолет (класс–эконом с багажом до 20 (двадцати) кг, ручная кладь до 10 (десяти) кг). 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954"/>
        <w:ind w:firstLine="720"/>
        <w:jc w:val="both"/>
        <w:tabs>
          <w:tab w:val="left" w:pos="1134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Приложения: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numPr>
          <w:ilvl w:val="1"/>
          <w:numId w:val="36"/>
        </w:numPr>
        <w:jc w:val="both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iCs/>
          <w:sz w:val="24"/>
          <w:szCs w:val="24"/>
          <w:highlight w:val="none"/>
        </w:rPr>
        <w:t xml:space="preserve">Ведомость объемов работ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37"/>
        <w:gridCol w:w="3026"/>
        <w:gridCol w:w="36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37" w:type="dxa"/>
            <w:vAlign w:val="top"/>
            <w:textDirection w:val="lrTb"/>
            <w:noWrap w:val="false"/>
          </w:tcPr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6" w:type="dxa"/>
            <w:vAlign w:val="top"/>
            <w:textDirection w:val="lrTb"/>
            <w:noWrap w:val="false"/>
          </w:tcPr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9" w:type="dxa"/>
            <w:vAlign w:val="top"/>
            <w:textDirection w:val="lrTb"/>
            <w:noWrap w:val="false"/>
          </w:tcPr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</w:tbl>
    <w:p>
      <w:pPr>
        <w:pStyle w:val="954"/>
        <w:ind w:left="1080"/>
        <w:jc w:val="both"/>
        <w:tabs>
          <w:tab w:val="left" w:pos="1134" w:leader="none"/>
        </w:tabs>
        <w:rPr>
          <w:iCs/>
          <w:sz w:val="24"/>
          <w:szCs w:val="24"/>
          <w:highlight w:val="white"/>
        </w:rPr>
      </w:pP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  <w:r>
        <w:rPr>
          <w:iCs/>
          <w:sz w:val="24"/>
          <w:szCs w:val="24"/>
          <w:highlight w:val="white"/>
        </w:rPr>
      </w:r>
    </w:p>
    <w:p>
      <w:r/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566" w:bottom="709" w:left="1134" w:header="142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Garamond">
    <w:panose1 w:val="020206030504050203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Lucida Sans Unicode">
    <w:panose1 w:val="020B0603030804020204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Style w:val="973"/>
        <w:sz w:val="16"/>
        <w:szCs w:val="16"/>
      </w:rPr>
      <w:framePr w:wrap="around" w:vAnchor="text" w:hAnchor="margin" w:xAlign="right" w:y="1"/>
    </w:pPr>
    <w:r>
      <w:rPr>
        <w:rStyle w:val="973"/>
        <w:sz w:val="16"/>
        <w:szCs w:val="16"/>
      </w:rPr>
      <w:fldChar w:fldCharType="begin"/>
    </w:r>
    <w:r>
      <w:rPr>
        <w:rStyle w:val="973"/>
        <w:sz w:val="16"/>
        <w:szCs w:val="16"/>
      </w:rPr>
      <w:instrText xml:space="preserve">PAGE  </w:instrText>
    </w:r>
    <w:r>
      <w:rPr>
        <w:rStyle w:val="973"/>
        <w:sz w:val="16"/>
        <w:szCs w:val="16"/>
      </w:rPr>
      <w:fldChar w:fldCharType="separate"/>
    </w:r>
    <w:r>
      <w:rPr>
        <w:rStyle w:val="973"/>
        <w:sz w:val="16"/>
        <w:szCs w:val="16"/>
      </w:rPr>
      <w:t xml:space="preserve">6</w:t>
    </w:r>
    <w:r>
      <w:rPr>
        <w:rStyle w:val="973"/>
        <w:sz w:val="16"/>
        <w:szCs w:val="16"/>
      </w:rPr>
      <w:fldChar w:fldCharType="end"/>
    </w:r>
    <w:r>
      <w:rPr>
        <w:rStyle w:val="973"/>
        <w:sz w:val="16"/>
        <w:szCs w:val="16"/>
      </w:rPr>
    </w:r>
    <w:r>
      <w:rPr>
        <w:rStyle w:val="973"/>
        <w:sz w:val="16"/>
        <w:szCs w:val="16"/>
      </w:rPr>
    </w:r>
  </w:p>
  <w:p>
    <w:pPr>
      <w:pStyle w:val="972"/>
      <w:ind w:right="360"/>
      <w:rPr>
        <w:rStyle w:val="973"/>
      </w:rPr>
      <w:framePr w:wrap="around" w:vAnchor="text" w:hAnchor="margin" w:xAlign="center" w:y="1"/>
    </w:pPr>
    <w:r>
      <w:rPr>
        <w:rStyle w:val="973"/>
      </w:rPr>
    </w:r>
    <w:r>
      <w:rPr>
        <w:rStyle w:val="973"/>
      </w:rPr>
    </w:r>
    <w:r>
      <w:rPr>
        <w:rStyle w:val="973"/>
      </w:rPr>
    </w:r>
  </w:p>
  <w:p>
    <w:pPr>
      <w:pStyle w:val="972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Style w:val="973"/>
      </w:rPr>
      <w:framePr w:wrap="around" w:vAnchor="text" w:hAnchor="margin" w:xAlign="right" w:y="1"/>
    </w:pPr>
    <w:r>
      <w:rPr>
        <w:rStyle w:val="973"/>
      </w:rPr>
      <w:fldChar w:fldCharType="begin"/>
    </w:r>
    <w:r>
      <w:rPr>
        <w:rStyle w:val="973"/>
      </w:rPr>
      <w:instrText xml:space="preserve">PAGE  </w:instrText>
    </w:r>
    <w:r>
      <w:rPr>
        <w:rStyle w:val="973"/>
      </w:rPr>
      <w:fldChar w:fldCharType="end"/>
    </w:r>
    <w:r>
      <w:rPr>
        <w:rStyle w:val="973"/>
      </w:rPr>
    </w:r>
    <w:r>
      <w:rPr>
        <w:rStyle w:val="973"/>
      </w:rPr>
    </w:r>
  </w:p>
  <w:p>
    <w:pPr>
      <w:pStyle w:val="972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1145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142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60" w:hanging="180"/>
      </w:pPr>
    </w:lvl>
  </w:abstractNum>
  <w:abstractNum w:abstractNumId="11">
    <w:multiLevelType w:val="hybridMultilevel"/>
    <w:lvl w:ilvl="0">
      <w:start w:val="1"/>
      <w:numFmt w:val="decimal"/>
      <w:pStyle w:val="1026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43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5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75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-"/>
      <w:lvlJc w:val="left"/>
      <w:pPr>
        <w:ind w:left="1695" w:hanging="360"/>
      </w:pPr>
      <w:rPr>
        <w:rFonts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4"/>
      <w:numFmt w:val="bullet"/>
      <w:pStyle w:val="1162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pStyle w:val="1163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ascii="Courier New" w:hAnsi="Courier New"/>
      </w:rPr>
    </w:lvl>
    <w:lvl w:ilvl="2">
      <w:start w:val="1"/>
      <w:numFmt w:val="bullet"/>
      <w:pStyle w:val="116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5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8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2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0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60" w:hanging="360"/>
      </w:pPr>
      <w:rPr>
        <w:rFonts w:ascii="Wingdings" w:hAnsi="Wingdings"/>
      </w:rPr>
    </w:lvl>
  </w:abstractNum>
  <w:num w:numId="1">
    <w:abstractNumId w:val="11"/>
  </w:num>
  <w:num w:numId="2">
    <w:abstractNumId w:val="25"/>
  </w:num>
  <w:num w:numId="3">
    <w:abstractNumId w:val="31"/>
  </w:num>
  <w:num w:numId="4">
    <w:abstractNumId w:val="19"/>
  </w:num>
  <w:num w:numId="5">
    <w:abstractNumId w:val="24"/>
  </w:num>
  <w:num w:numId="6">
    <w:abstractNumId w:val="1"/>
  </w:num>
  <w:num w:numId="7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5"/>
  </w:num>
  <w:num w:numId="10">
    <w:abstractNumId w:val="0"/>
  </w:num>
  <w:num w:numId="11">
    <w:abstractNumId w:val="13"/>
  </w:num>
  <w:num w:numId="12">
    <w:abstractNumId w:val="30"/>
  </w:num>
  <w:num w:numId="13">
    <w:abstractNumId w:val="17"/>
  </w:num>
  <w:num w:numId="14">
    <w:abstractNumId w:val="32"/>
  </w:num>
  <w:num w:numId="15">
    <w:abstractNumId w:val="18"/>
  </w:num>
  <w:num w:numId="16">
    <w:abstractNumId w:val="20"/>
  </w:num>
  <w:num w:numId="17">
    <w:abstractNumId w:val="29"/>
  </w:num>
  <w:num w:numId="18">
    <w:abstractNumId w:val="12"/>
  </w:num>
  <w:num w:numId="19">
    <w:abstractNumId w:val="2"/>
  </w:num>
  <w:num w:numId="20">
    <w:abstractNumId w:val="5"/>
  </w:num>
  <w:num w:numId="21">
    <w:abstractNumId w:val="7"/>
  </w:num>
  <w:num w:numId="22">
    <w:abstractNumId w:val="28"/>
  </w:num>
  <w:num w:numId="23">
    <w:abstractNumId w:val="33"/>
  </w:num>
  <w:num w:numId="24">
    <w:abstractNumId w:val="23"/>
  </w:num>
  <w:num w:numId="25">
    <w:abstractNumId w:val="14"/>
  </w:num>
  <w:num w:numId="26">
    <w:abstractNumId w:val="15"/>
  </w:num>
  <w:num w:numId="27">
    <w:abstractNumId w:val="26"/>
  </w:num>
  <w:num w:numId="28">
    <w:abstractNumId w:val="34"/>
  </w:num>
  <w:num w:numId="29">
    <w:abstractNumId w:val="22"/>
  </w:num>
  <w:num w:numId="30">
    <w:abstractNumId w:val="37"/>
  </w:num>
  <w:num w:numId="31">
    <w:abstractNumId w:val="21"/>
  </w:num>
  <w:num w:numId="32">
    <w:abstractNumId w:val="38"/>
  </w:num>
  <w:num w:numId="33">
    <w:abstractNumId w:val="4"/>
  </w:num>
  <w:num w:numId="34">
    <w:abstractNumId w:val="10"/>
  </w:num>
  <w:num w:numId="35">
    <w:abstractNumId w:val="3"/>
  </w:num>
  <w:num w:numId="36">
    <w:abstractNumId w:val="27"/>
  </w:num>
  <w:num w:numId="37">
    <w:abstractNumId w:val="6"/>
  </w:num>
  <w:num w:numId="38">
    <w:abstractNumId w:val="9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54"/>
    <w:next w:val="954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54"/>
    <w:next w:val="954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54"/>
    <w:next w:val="954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54"/>
    <w:next w:val="954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54"/>
    <w:next w:val="954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54"/>
    <w:next w:val="954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54"/>
    <w:next w:val="954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54"/>
    <w:next w:val="954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54"/>
    <w:next w:val="954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List Paragraph"/>
    <w:basedOn w:val="954"/>
    <w:uiPriority w:val="34"/>
    <w:qFormat/>
    <w:pPr>
      <w:contextualSpacing/>
      <w:ind w:left="720"/>
    </w:pPr>
  </w:style>
  <w:style w:type="paragraph" w:styleId="795">
    <w:name w:val="No Spacing"/>
    <w:uiPriority w:val="1"/>
    <w:qFormat/>
    <w:pPr>
      <w:spacing w:before="0" w:after="0" w:line="240" w:lineRule="auto"/>
    </w:pPr>
  </w:style>
  <w:style w:type="paragraph" w:styleId="796">
    <w:name w:val="Title"/>
    <w:basedOn w:val="954"/>
    <w:next w:val="954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link w:val="796"/>
    <w:uiPriority w:val="10"/>
    <w:rPr>
      <w:sz w:val="48"/>
      <w:szCs w:val="48"/>
    </w:rPr>
  </w:style>
  <w:style w:type="paragraph" w:styleId="798">
    <w:name w:val="Subtitle"/>
    <w:basedOn w:val="954"/>
    <w:next w:val="954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link w:val="798"/>
    <w:uiPriority w:val="11"/>
    <w:rPr>
      <w:sz w:val="24"/>
      <w:szCs w:val="24"/>
    </w:rPr>
  </w:style>
  <w:style w:type="paragraph" w:styleId="800">
    <w:name w:val="Quote"/>
    <w:basedOn w:val="954"/>
    <w:next w:val="954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4"/>
    <w:next w:val="954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paragraph" w:styleId="804">
    <w:name w:val="Header"/>
    <w:basedOn w:val="954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5">
    <w:name w:val="Header Char"/>
    <w:link w:val="804"/>
    <w:uiPriority w:val="99"/>
  </w:style>
  <w:style w:type="paragraph" w:styleId="806">
    <w:name w:val="Footer"/>
    <w:basedOn w:val="954"/>
    <w:link w:val="8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7">
    <w:name w:val="Footer Char"/>
    <w:link w:val="806"/>
    <w:uiPriority w:val="99"/>
  </w:style>
  <w:style w:type="paragraph" w:styleId="808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806"/>
    <w:uiPriority w:val="99"/>
  </w:style>
  <w:style w:type="table" w:styleId="8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6">
    <w:name w:val="Hyperlink"/>
    <w:uiPriority w:val="99"/>
    <w:unhideWhenUsed/>
    <w:rPr>
      <w:color w:val="0000ff" w:themeColor="hyperlink"/>
      <w:u w:val="single"/>
    </w:r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next w:val="954"/>
    <w:link w:val="954"/>
    <w:qFormat/>
    <w:rPr>
      <w:lang w:val="ru-RU" w:eastAsia="ru-RU" w:bidi="ar-SA"/>
    </w:rPr>
  </w:style>
  <w:style w:type="paragraph" w:styleId="955">
    <w:name w:val="Заголовок 1, Знак, Знак Знак"/>
    <w:basedOn w:val="954"/>
    <w:next w:val="954"/>
    <w:link w:val="967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956">
    <w:name w:val="Заголовок 2"/>
    <w:basedOn w:val="954"/>
    <w:next w:val="954"/>
    <w:link w:val="954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957">
    <w:name w:val="Заголовок 3"/>
    <w:basedOn w:val="954"/>
    <w:next w:val="954"/>
    <w:link w:val="954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58">
    <w:name w:val="Заголовок 4"/>
    <w:basedOn w:val="954"/>
    <w:next w:val="954"/>
    <w:link w:val="954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59">
    <w:name w:val="Заголовок 5"/>
    <w:basedOn w:val="954"/>
    <w:next w:val="954"/>
    <w:link w:val="954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60">
    <w:name w:val="Заголовок 6"/>
    <w:basedOn w:val="954"/>
    <w:next w:val="954"/>
    <w:link w:val="954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61">
    <w:name w:val="Заголовок 7"/>
    <w:basedOn w:val="954"/>
    <w:next w:val="954"/>
    <w:link w:val="969"/>
    <w:qFormat/>
    <w:pPr>
      <w:spacing w:before="240" w:after="60"/>
      <w:outlineLvl w:val="6"/>
    </w:pPr>
    <w:rPr>
      <w:sz w:val="24"/>
      <w:szCs w:val="24"/>
    </w:rPr>
  </w:style>
  <w:style w:type="paragraph" w:styleId="962">
    <w:name w:val="Заголовок 8"/>
    <w:basedOn w:val="954"/>
    <w:next w:val="954"/>
    <w:link w:val="954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63">
    <w:name w:val="Заголовок 9"/>
    <w:basedOn w:val="954"/>
    <w:next w:val="954"/>
    <w:link w:val="954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64">
    <w:name w:val="Основной шрифт абзаца, Знак Знак Знак2 Знак1 Знак Знак Знак Знак"/>
    <w:next w:val="964"/>
    <w:link w:val="954"/>
    <w:semiHidden/>
  </w:style>
  <w:style w:type="table" w:styleId="965">
    <w:name w:val="Обычная таблица"/>
    <w:next w:val="965"/>
    <w:link w:val="954"/>
    <w:semiHidden/>
    <w:tblPr/>
  </w:style>
  <w:style w:type="numbering" w:styleId="966">
    <w:name w:val="Нет списка"/>
    <w:next w:val="966"/>
    <w:link w:val="954"/>
    <w:semiHidden/>
  </w:style>
  <w:style w:type="character" w:styleId="967">
    <w:name w:val="Заголовок 1 Знак, Знак Знак2, Знак Знак Знак2"/>
    <w:next w:val="967"/>
    <w:link w:val="955"/>
    <w:rPr>
      <w:rFonts w:ascii="Arial" w:hAnsi="Arial"/>
      <w:b/>
      <w:sz w:val="32"/>
      <w:lang w:val="ru-RU" w:eastAsia="ru-RU" w:bidi="ar-SA"/>
    </w:rPr>
  </w:style>
  <w:style w:type="paragraph" w:styleId="968">
    <w:name w:val=" Знак Знак Знак2 Знак1 Знак Знак"/>
    <w:basedOn w:val="954"/>
    <w:next w:val="968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969">
    <w:name w:val="Заголовок 7 Знак"/>
    <w:next w:val="969"/>
    <w:link w:val="961"/>
    <w:semiHidden/>
    <w:rPr>
      <w:sz w:val="24"/>
      <w:szCs w:val="24"/>
      <w:lang w:val="ru-RU" w:eastAsia="ru-RU" w:bidi="ar-SA"/>
    </w:rPr>
  </w:style>
  <w:style w:type="paragraph" w:styleId="970">
    <w:name w:val="Верхний колонтитул,Название 2"/>
    <w:basedOn w:val="954"/>
    <w:next w:val="970"/>
    <w:link w:val="971"/>
    <w:pPr>
      <w:tabs>
        <w:tab w:val="center" w:pos="4677" w:leader="none"/>
        <w:tab w:val="right" w:pos="9355" w:leader="none"/>
      </w:tabs>
    </w:pPr>
  </w:style>
  <w:style w:type="character" w:styleId="971">
    <w:name w:val="Верхний колонтитул Знак,Название 2 Знак"/>
    <w:next w:val="971"/>
    <w:link w:val="970"/>
    <w:semiHidden/>
    <w:rPr>
      <w:lang w:val="ru-RU" w:eastAsia="ru-RU" w:bidi="ar-SA"/>
    </w:rPr>
  </w:style>
  <w:style w:type="paragraph" w:styleId="972">
    <w:name w:val="Нижний колонтитул"/>
    <w:basedOn w:val="954"/>
    <w:next w:val="972"/>
    <w:link w:val="954"/>
    <w:pPr>
      <w:tabs>
        <w:tab w:val="center" w:pos="4677" w:leader="none"/>
        <w:tab w:val="right" w:pos="9355" w:leader="none"/>
      </w:tabs>
    </w:pPr>
  </w:style>
  <w:style w:type="character" w:styleId="973">
    <w:name w:val="Номер страницы"/>
    <w:basedOn w:val="964"/>
    <w:next w:val="973"/>
    <w:link w:val="954"/>
  </w:style>
  <w:style w:type="paragraph" w:styleId="974">
    <w:name w:val="текст1"/>
    <w:next w:val="974"/>
    <w:link w:val="954"/>
    <w:pPr>
      <w:ind w:firstLine="397"/>
      <w:jc w:val="both"/>
    </w:pPr>
    <w:rPr>
      <w:rFonts w:ascii="SchoolBookC" w:hAnsi="SchoolBookC"/>
      <w:sz w:val="24"/>
      <w:lang w:val="ru-RU" w:eastAsia="ru-RU" w:bidi="ar-SA"/>
    </w:rPr>
  </w:style>
  <w:style w:type="paragraph" w:styleId="975">
    <w:name w:val="Цитата"/>
    <w:basedOn w:val="954"/>
    <w:next w:val="975"/>
    <w:link w:val="954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976">
    <w:name w:val="втяжка"/>
    <w:basedOn w:val="974"/>
    <w:next w:val="974"/>
    <w:link w:val="954"/>
    <w:pPr>
      <w:ind w:left="567" w:hanging="567"/>
      <w:spacing w:before="57"/>
      <w:tabs>
        <w:tab w:val="left" w:pos="567" w:leader="none"/>
      </w:tabs>
    </w:pPr>
  </w:style>
  <w:style w:type="paragraph" w:styleId="977">
    <w:name w:val="втяжка1"/>
    <w:basedOn w:val="976"/>
    <w:next w:val="976"/>
    <w:link w:val="954"/>
    <w:pPr>
      <w:ind w:left="1134"/>
      <w:tabs>
        <w:tab w:val="clear" w:pos="567" w:leader="none"/>
        <w:tab w:val="left" w:pos="1134" w:leader="none"/>
      </w:tabs>
    </w:pPr>
  </w:style>
  <w:style w:type="paragraph" w:styleId="978">
    <w:name w:val="Основной текст с отступом 2"/>
    <w:basedOn w:val="954"/>
    <w:next w:val="978"/>
    <w:link w:val="954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979">
    <w:name w:val="Normal1"/>
    <w:next w:val="979"/>
    <w:link w:val="980"/>
    <w:pPr>
      <w:spacing w:before="100" w:after="100"/>
      <w:widowControl w:val="off"/>
    </w:pPr>
    <w:rPr>
      <w:sz w:val="24"/>
      <w:lang w:val="ru-RU" w:eastAsia="ru-RU" w:bidi="ar-SA"/>
    </w:rPr>
  </w:style>
  <w:style w:type="character" w:styleId="980">
    <w:name w:val="Normal Знак"/>
    <w:next w:val="980"/>
    <w:link w:val="979"/>
    <w:rPr>
      <w:sz w:val="24"/>
      <w:lang w:val="ru-RU" w:eastAsia="ru-RU" w:bidi="ar-SA"/>
    </w:rPr>
  </w:style>
  <w:style w:type="paragraph" w:styleId="981">
    <w:name w:val="Основной текст 2"/>
    <w:basedOn w:val="954"/>
    <w:next w:val="981"/>
    <w:link w:val="954"/>
    <w:pPr>
      <w:spacing w:after="120" w:line="480" w:lineRule="auto"/>
    </w:pPr>
  </w:style>
  <w:style w:type="paragraph" w:styleId="982">
    <w:name w:val="текст-табл"/>
    <w:basedOn w:val="954"/>
    <w:next w:val="954"/>
    <w:link w:val="954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983">
    <w:name w:val="Основной текст"/>
    <w:basedOn w:val="954"/>
    <w:next w:val="983"/>
    <w:link w:val="984"/>
    <w:pPr>
      <w:spacing w:after="120"/>
    </w:pPr>
  </w:style>
  <w:style w:type="character" w:styleId="984">
    <w:name w:val="Основной текст Знак"/>
    <w:next w:val="984"/>
    <w:link w:val="983"/>
    <w:rPr>
      <w:lang w:val="ru-RU" w:eastAsia="ru-RU" w:bidi="ar-SA"/>
    </w:rPr>
  </w:style>
  <w:style w:type="paragraph" w:styleId="985">
    <w:name w:val="Основной текст с отступом 3"/>
    <w:basedOn w:val="954"/>
    <w:next w:val="985"/>
    <w:link w:val="954"/>
    <w:pPr>
      <w:ind w:left="283"/>
      <w:spacing w:after="120"/>
    </w:pPr>
    <w:rPr>
      <w:sz w:val="16"/>
      <w:szCs w:val="16"/>
    </w:rPr>
  </w:style>
  <w:style w:type="paragraph" w:styleId="986">
    <w:name w:val="Основной текст 3"/>
    <w:basedOn w:val="954"/>
    <w:next w:val="986"/>
    <w:link w:val="954"/>
    <w:pPr>
      <w:spacing w:after="120"/>
    </w:pPr>
    <w:rPr>
      <w:sz w:val="16"/>
      <w:szCs w:val="16"/>
    </w:rPr>
  </w:style>
  <w:style w:type="paragraph" w:styleId="987">
    <w:name w:val="Основной текст с отступом"/>
    <w:basedOn w:val="954"/>
    <w:next w:val="987"/>
    <w:link w:val="954"/>
    <w:pPr>
      <w:ind w:left="283"/>
      <w:spacing w:after="120"/>
    </w:pPr>
  </w:style>
  <w:style w:type="paragraph" w:styleId="988">
    <w:name w:val="текст"/>
    <w:next w:val="988"/>
    <w:link w:val="954"/>
    <w:pPr>
      <w:jc w:val="both"/>
    </w:pPr>
    <w:rPr>
      <w:rFonts w:ascii="SchoolBookC" w:hAnsi="SchoolBookC"/>
      <w:color w:val="000000"/>
      <w:sz w:val="24"/>
      <w:lang w:val="ru-RU" w:eastAsia="ru-RU" w:bidi="ar-SA"/>
    </w:rPr>
  </w:style>
  <w:style w:type="paragraph" w:styleId="989">
    <w:name w:val="заг_центр"/>
    <w:basedOn w:val="982"/>
    <w:next w:val="989"/>
    <w:link w:val="954"/>
    <w:pPr>
      <w:jc w:val="center"/>
    </w:pPr>
    <w:rPr>
      <w:rFonts w:ascii="AvantGardeGothicC" w:hAnsi="AvantGardeGothicC"/>
    </w:rPr>
  </w:style>
  <w:style w:type="paragraph" w:styleId="990">
    <w:name w:val="fr1"/>
    <w:basedOn w:val="954"/>
    <w:next w:val="990"/>
    <w:link w:val="954"/>
    <w:pPr>
      <w:ind w:left="150" w:right="150"/>
      <w:spacing w:before="150" w:after="150"/>
    </w:pPr>
    <w:rPr>
      <w:sz w:val="24"/>
      <w:szCs w:val="24"/>
    </w:rPr>
  </w:style>
  <w:style w:type="paragraph" w:styleId="991">
    <w:name w:val="ConsNormal"/>
    <w:next w:val="991"/>
    <w:link w:val="954"/>
    <w:pPr>
      <w:ind w:right="19772" w:firstLine="720"/>
    </w:pPr>
    <w:rPr>
      <w:rFonts w:ascii="Arial" w:hAnsi="Arial" w:cs="Arial"/>
      <w:lang w:val="ru-RU" w:eastAsia="ru-RU" w:bidi="ar-SA"/>
    </w:rPr>
  </w:style>
  <w:style w:type="character" w:styleId="992">
    <w:name w:val="Гиперссылка"/>
    <w:next w:val="992"/>
    <w:link w:val="954"/>
    <w:rPr>
      <w:color w:val="0000ff"/>
      <w:u w:val="single"/>
    </w:rPr>
  </w:style>
  <w:style w:type="paragraph" w:styleId="993">
    <w:name w:val="Стиль1"/>
    <w:basedOn w:val="954"/>
    <w:next w:val="993"/>
    <w:link w:val="954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994">
    <w:name w:val="Стиль2"/>
    <w:basedOn w:val="995"/>
    <w:next w:val="994"/>
    <w:link w:val="954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995">
    <w:name w:val="Нумерованный список 2"/>
    <w:basedOn w:val="954"/>
    <w:next w:val="995"/>
    <w:link w:val="954"/>
    <w:pPr>
      <w:ind w:left="432" w:hanging="432"/>
      <w:tabs>
        <w:tab w:val="num" w:pos="432" w:leader="none"/>
      </w:tabs>
    </w:pPr>
  </w:style>
  <w:style w:type="paragraph" w:styleId="996">
    <w:name w:val="Стиль3"/>
    <w:basedOn w:val="978"/>
    <w:next w:val="996"/>
    <w:link w:val="997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997">
    <w:name w:val="Стиль3 Знак"/>
    <w:next w:val="997"/>
    <w:link w:val="996"/>
    <w:rPr>
      <w:sz w:val="24"/>
      <w:lang w:val="ru-RU" w:eastAsia="ru-RU" w:bidi="ar-SA"/>
    </w:rPr>
  </w:style>
  <w:style w:type="character" w:styleId="998">
    <w:name w:val="Строгий"/>
    <w:next w:val="998"/>
    <w:link w:val="954"/>
    <w:qFormat/>
    <w:rPr>
      <w:b/>
      <w:bCs/>
    </w:rPr>
  </w:style>
  <w:style w:type="paragraph" w:styleId="999">
    <w:name w:val="9"/>
    <w:basedOn w:val="954"/>
    <w:next w:val="999"/>
    <w:link w:val="954"/>
    <w:pPr>
      <w:jc w:val="center"/>
    </w:pPr>
    <w:rPr>
      <w:rFonts w:eastAsia="Arial Unicode MS"/>
      <w:b/>
      <w:bCs/>
      <w:sz w:val="16"/>
      <w:szCs w:val="16"/>
    </w:rPr>
  </w:style>
  <w:style w:type="paragraph" w:styleId="1000">
    <w:name w:val="Контракт-пункт"/>
    <w:basedOn w:val="954"/>
    <w:next w:val="1000"/>
    <w:link w:val="954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table" w:styleId="1001">
    <w:name w:val="Сетка таблицы"/>
    <w:basedOn w:val="965"/>
    <w:next w:val="1001"/>
    <w:link w:val="954"/>
    <w:tblPr/>
  </w:style>
  <w:style w:type="paragraph" w:styleId="1002">
    <w:name w:val="Текст_начало_2"/>
    <w:basedOn w:val="954"/>
    <w:next w:val="1002"/>
    <w:link w:val="954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003">
    <w:name w:val="02statia1"/>
    <w:basedOn w:val="954"/>
    <w:next w:val="1003"/>
    <w:link w:val="954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004">
    <w:name w:val="02statia2"/>
    <w:basedOn w:val="954"/>
    <w:next w:val="1004"/>
    <w:link w:val="954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05">
    <w:name w:val="02statia3"/>
    <w:basedOn w:val="954"/>
    <w:next w:val="1005"/>
    <w:link w:val="954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06">
    <w:name w:val="03zagolovok2"/>
    <w:basedOn w:val="954"/>
    <w:next w:val="1006"/>
    <w:link w:val="95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07">
    <w:name w:val="директор"/>
    <w:basedOn w:val="954"/>
    <w:next w:val="1007"/>
    <w:link w:val="954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008">
    <w:name w:val="FR1"/>
    <w:next w:val="1008"/>
    <w:link w:val="954"/>
    <w:pPr>
      <w:ind w:left="920"/>
      <w:widowControl w:val="off"/>
    </w:pPr>
    <w:rPr>
      <w:rFonts w:ascii="Arial" w:hAnsi="Arial" w:cs="Arial"/>
      <w:b/>
      <w:bCs/>
      <w:sz w:val="18"/>
      <w:szCs w:val="18"/>
      <w:lang w:val="ru-RU" w:eastAsia="ru-RU" w:bidi="ar-SA"/>
    </w:rPr>
  </w:style>
  <w:style w:type="paragraph" w:styleId="1009">
    <w:name w:val="Подзаголовок"/>
    <w:basedOn w:val="954"/>
    <w:next w:val="1009"/>
    <w:link w:val="954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1010">
    <w:name w:val="Основной шрифт"/>
    <w:next w:val="1010"/>
    <w:link w:val="954"/>
    <w:semiHidden/>
  </w:style>
  <w:style w:type="paragraph" w:styleId="1011">
    <w:name w:val="Текст выноски"/>
    <w:basedOn w:val="954"/>
    <w:next w:val="1011"/>
    <w:link w:val="954"/>
    <w:semiHidden/>
    <w:rPr>
      <w:rFonts w:ascii="Tahoma" w:hAnsi="Tahoma" w:cs="Tahoma"/>
      <w:sz w:val="16"/>
      <w:szCs w:val="16"/>
    </w:rPr>
  </w:style>
  <w:style w:type="paragraph" w:styleId="1012">
    <w:name w:val="Комментарий"/>
    <w:basedOn w:val="954"/>
    <w:next w:val="954"/>
    <w:link w:val="954"/>
    <w:pPr>
      <w:ind w:left="170"/>
      <w:jc w:val="both"/>
    </w:pPr>
    <w:rPr>
      <w:rFonts w:ascii="Arial" w:hAnsi="Arial"/>
      <w:i/>
      <w:iCs/>
      <w:color w:val="800080"/>
    </w:rPr>
  </w:style>
  <w:style w:type="character" w:styleId="1013">
    <w:name w:val="Стиль3 Знак Знак"/>
    <w:next w:val="1013"/>
    <w:link w:val="954"/>
    <w:rPr>
      <w:sz w:val="24"/>
      <w:lang w:val="ru-RU" w:eastAsia="ru-RU" w:bidi="ar-SA"/>
    </w:rPr>
  </w:style>
  <w:style w:type="paragraph" w:styleId="1014">
    <w:name w:val="Обычный + 14 pt,по ширине,Первая строка:  1,27 см"/>
    <w:basedOn w:val="954"/>
    <w:next w:val="1014"/>
    <w:link w:val="954"/>
    <w:pPr>
      <w:ind w:firstLine="720"/>
      <w:jc w:val="both"/>
    </w:pPr>
    <w:rPr>
      <w:sz w:val="28"/>
    </w:rPr>
  </w:style>
  <w:style w:type="character" w:styleId="1015">
    <w:name w:val="Основной текст с отступом Знак"/>
    <w:next w:val="1015"/>
    <w:link w:val="954"/>
    <w:rPr>
      <w:sz w:val="24"/>
      <w:szCs w:val="24"/>
      <w:lang w:val="ru-RU" w:eastAsia="ru-RU" w:bidi="ar-SA"/>
    </w:rPr>
  </w:style>
  <w:style w:type="paragraph" w:styleId="1016">
    <w:name w:val="Стандартный HTML"/>
    <w:basedOn w:val="954"/>
    <w:next w:val="1016"/>
    <w:link w:val="1157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017">
    <w:name w:val="Знак1 Знак Знак Знак Знак Знак Знак"/>
    <w:basedOn w:val="954"/>
    <w:next w:val="1017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18">
    <w:name w:val=" Знак Знак Знак Знак"/>
    <w:basedOn w:val="954"/>
    <w:next w:val="1018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19">
    <w:name w:val="Знак"/>
    <w:basedOn w:val="954"/>
    <w:next w:val="1019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20">
    <w:name w:val=" Знак Знак Знак1"/>
    <w:next w:val="1020"/>
    <w:link w:val="954"/>
    <w:rPr>
      <w:rFonts w:ascii="Arial" w:hAnsi="Arial"/>
      <w:b/>
      <w:sz w:val="32"/>
      <w:lang w:val="ru-RU" w:eastAsia="ru-RU" w:bidi="ar-SA"/>
    </w:rPr>
  </w:style>
  <w:style w:type="paragraph" w:styleId="1021">
    <w:name w:val="Обычный (веб),Обычный (Web)"/>
    <w:basedOn w:val="954"/>
    <w:next w:val="1021"/>
    <w:link w:val="1022"/>
    <w:pPr>
      <w:spacing w:before="100" w:after="100"/>
    </w:pPr>
    <w:rPr>
      <w:sz w:val="24"/>
    </w:rPr>
  </w:style>
  <w:style w:type="character" w:styleId="1022">
    <w:name w:val="Обычный (веб) Знак,Обычный (Web) Знак"/>
    <w:next w:val="1022"/>
    <w:link w:val="1021"/>
    <w:rPr>
      <w:sz w:val="24"/>
      <w:lang w:val="ru-RU" w:eastAsia="ru-RU" w:bidi="ar-SA"/>
    </w:rPr>
  </w:style>
  <w:style w:type="paragraph" w:styleId="1023">
    <w:name w:val=" Знак1 Знак Знак Знак"/>
    <w:basedOn w:val="954"/>
    <w:next w:val="1023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24">
    <w:name w:val="Маркированный список"/>
    <w:basedOn w:val="954"/>
    <w:next w:val="1024"/>
    <w:link w:val="954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25">
    <w:name w:val=" Char Char1 Знак Знак Знак"/>
    <w:basedOn w:val="954"/>
    <w:next w:val="1025"/>
    <w:link w:val="954"/>
    <w:rPr>
      <w:rFonts w:ascii="Verdana" w:hAnsi="Verdana" w:cs="Verdana"/>
      <w:lang w:val="en-US" w:eastAsia="en-US"/>
    </w:rPr>
  </w:style>
  <w:style w:type="paragraph" w:styleId="1026">
    <w:name w:val=" Знак1"/>
    <w:basedOn w:val="954"/>
    <w:next w:val="1026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27">
    <w:name w:val="Содержимое таблицы"/>
    <w:basedOn w:val="954"/>
    <w:next w:val="1027"/>
    <w:link w:val="954"/>
    <w:pPr>
      <w:suppressLineNumbers/>
    </w:pPr>
    <w:rPr>
      <w:sz w:val="24"/>
      <w:szCs w:val="24"/>
      <w:lang w:eastAsia="ar-SA"/>
    </w:rPr>
  </w:style>
  <w:style w:type="paragraph" w:styleId="1028">
    <w:name w:val="1"/>
    <w:basedOn w:val="954"/>
    <w:next w:val="1028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29">
    <w:name w:val=" Знак Знак1"/>
    <w:next w:val="1029"/>
    <w:link w:val="954"/>
    <w:rPr>
      <w:rFonts w:ascii="Arial" w:hAnsi="Arial"/>
      <w:b/>
      <w:sz w:val="32"/>
      <w:lang w:val="ru-RU" w:eastAsia="ru-RU" w:bidi="ar-SA"/>
    </w:rPr>
  </w:style>
  <w:style w:type="paragraph" w:styleId="1030">
    <w:name w:val="Условия контракта"/>
    <w:basedOn w:val="954"/>
    <w:next w:val="1030"/>
    <w:link w:val="954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31">
    <w:name w:val=" Знак Знак Знак"/>
    <w:basedOn w:val="954"/>
    <w:next w:val="1031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2">
    <w:name w:val=" Знак Знак Знак Знак Знак Знак Знак Знак Знак Знак"/>
    <w:basedOn w:val="954"/>
    <w:next w:val="1032"/>
    <w:link w:val="954"/>
    <w:rPr>
      <w:rFonts w:ascii="Verdana" w:hAnsi="Verdana" w:cs="Verdana"/>
      <w:lang w:val="en-US" w:eastAsia="en-US"/>
    </w:rPr>
  </w:style>
  <w:style w:type="paragraph" w:styleId="1033">
    <w:name w:val=" Знак1 Знак Знак Знак Знак Знак Знак Знак Знак Знак"/>
    <w:basedOn w:val="954"/>
    <w:next w:val="1033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34">
    <w:name w:val="WW-Absatz-Standardschriftart"/>
    <w:next w:val="1034"/>
    <w:link w:val="954"/>
  </w:style>
  <w:style w:type="paragraph" w:styleId="1035">
    <w:name w:val="Абзац списка,Table-Normal,RSHB_Table-Normal,Заголовок_3,Подпись рисунка,Алроса_маркер (Уровень 4),Маркер,ПАРАГРАФ,Абзац списка2,Bullet List,FooterText,numbered,Абзац основного текста,Текстовая"/>
    <w:basedOn w:val="954"/>
    <w:next w:val="1035"/>
    <w:link w:val="1160"/>
    <w:uiPriority w:val="34"/>
    <w:qFormat/>
    <w:pPr>
      <w:contextualSpacing/>
      <w:ind w:left="720"/>
    </w:pPr>
    <w:rPr>
      <w:sz w:val="24"/>
      <w:szCs w:val="24"/>
    </w:rPr>
  </w:style>
  <w:style w:type="paragraph" w:styleId="1036">
    <w:name w:val="ConsPlusNormal"/>
    <w:next w:val="1036"/>
    <w:link w:val="954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1037">
    <w:name w:val="Гипертекстовая ссылка"/>
    <w:next w:val="1037"/>
    <w:link w:val="954"/>
    <w:rPr>
      <w:color w:val="008000"/>
    </w:rPr>
  </w:style>
  <w:style w:type="paragraph" w:styleId="1038">
    <w:name w:val=" Знак Знак Знак2 Знак"/>
    <w:basedOn w:val="954"/>
    <w:next w:val="1038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9">
    <w:name w:val="Знак Знак Знак2 Знак"/>
    <w:basedOn w:val="954"/>
    <w:next w:val="1039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0">
    <w:name w:val="Body Text 3"/>
    <w:basedOn w:val="954"/>
    <w:next w:val="1040"/>
    <w:link w:val="954"/>
    <w:pPr>
      <w:jc w:val="center"/>
      <w:spacing w:before="120"/>
    </w:pPr>
    <w:rPr>
      <w:sz w:val="24"/>
    </w:rPr>
  </w:style>
  <w:style w:type="paragraph" w:styleId="1041">
    <w:name w:val="Знак Знак Знак Знак"/>
    <w:basedOn w:val="954"/>
    <w:next w:val="1041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2">
    <w:name w:val="Оглавление 2"/>
    <w:basedOn w:val="954"/>
    <w:next w:val="954"/>
    <w:link w:val="954"/>
    <w:semiHidden/>
    <w:pPr>
      <w:ind w:left="240"/>
      <w:jc w:val="center"/>
      <w:spacing w:before="120"/>
    </w:pPr>
    <w:rPr>
      <w:b/>
      <w:bCs/>
      <w:sz w:val="28"/>
      <w:szCs w:val="28"/>
    </w:rPr>
  </w:style>
  <w:style w:type="character" w:styleId="1043">
    <w:name w:val=" Знак Знак Знак Знак1"/>
    <w:next w:val="1043"/>
    <w:link w:val="954"/>
    <w:rPr>
      <w:rFonts w:ascii="Arial" w:hAnsi="Arial"/>
      <w:b/>
      <w:sz w:val="32"/>
      <w:lang w:val="ru-RU" w:eastAsia="ru-RU" w:bidi="ar-SA"/>
    </w:rPr>
  </w:style>
  <w:style w:type="paragraph" w:styleId="1044">
    <w:name w:val="ConsPlusNonformat"/>
    <w:next w:val="1044"/>
    <w:link w:val="954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1045">
    <w:name w:val="Текст"/>
    <w:basedOn w:val="954"/>
    <w:next w:val="1045"/>
    <w:link w:val="1150"/>
    <w:uiPriority w:val="99"/>
    <w:rPr>
      <w:rFonts w:ascii="Courier New" w:hAnsi="Courier New"/>
      <w:szCs w:val="24"/>
    </w:rPr>
  </w:style>
  <w:style w:type="paragraph" w:styleId="1046">
    <w:name w:val="ConsCell"/>
    <w:next w:val="1046"/>
    <w:link w:val="954"/>
    <w:pPr>
      <w:widowControl w:val="off"/>
    </w:pPr>
    <w:rPr>
      <w:rFonts w:ascii="Arial" w:hAnsi="Arial" w:cs="Arial"/>
      <w:lang w:val="ru-RU" w:eastAsia="ru-RU" w:bidi="ar-SA"/>
    </w:rPr>
  </w:style>
  <w:style w:type="character" w:styleId="1047">
    <w:name w:val=" Знак Знак3"/>
    <w:next w:val="1047"/>
    <w:link w:val="954"/>
    <w:rPr>
      <w:lang w:val="ru-RU" w:eastAsia="ru-RU" w:bidi="ar-SA"/>
    </w:rPr>
  </w:style>
  <w:style w:type="character" w:styleId="1048">
    <w:name w:val="Обычный (Web) Знак Знак"/>
    <w:next w:val="1048"/>
    <w:link w:val="954"/>
    <w:rPr>
      <w:sz w:val="24"/>
      <w:lang w:val="ru-RU" w:eastAsia="ru-RU" w:bidi="ar-SA"/>
    </w:rPr>
  </w:style>
  <w:style w:type="character" w:styleId="1049">
    <w:name w:val="Название 2 Знак Знак"/>
    <w:next w:val="1049"/>
    <w:link w:val="954"/>
    <w:semiHidden/>
    <w:rPr>
      <w:lang w:val="ru-RU" w:eastAsia="ru-RU" w:bidi="ar-SA"/>
    </w:rPr>
  </w:style>
  <w:style w:type="paragraph" w:styleId="1050">
    <w:name w:val=" Знак2"/>
    <w:basedOn w:val="954"/>
    <w:next w:val="1050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51">
    <w:name w:val=" Знак Знак Знак3"/>
    <w:next w:val="1051"/>
    <w:link w:val="954"/>
    <w:rPr>
      <w:rFonts w:ascii="Arial" w:hAnsi="Arial"/>
      <w:b/>
      <w:sz w:val="32"/>
      <w:lang w:val="ru-RU" w:eastAsia="ru-RU" w:bidi="ar-SA"/>
    </w:rPr>
  </w:style>
  <w:style w:type="character" w:styleId="1052">
    <w:name w:val=" Знак Знак7"/>
    <w:next w:val="1052"/>
    <w:link w:val="954"/>
    <w:rPr>
      <w:lang w:val="ru-RU" w:eastAsia="ru-RU" w:bidi="ar-SA"/>
    </w:rPr>
  </w:style>
  <w:style w:type="paragraph" w:styleId="1053">
    <w:name w:val=" Знак1 Знак Знак Знак Знак Знак"/>
    <w:basedOn w:val="954"/>
    <w:next w:val="1053"/>
    <w:link w:val="95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054">
    <w:name w:val="Знак Знак Знак Знак Знак Знак Знак Знак Знак Знак"/>
    <w:basedOn w:val="954"/>
    <w:next w:val="1054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5">
    <w:name w:val="Знак Знак Char Char"/>
    <w:basedOn w:val="954"/>
    <w:next w:val="1055"/>
    <w:link w:val="954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56">
    <w:name w:val="Absatz-Standardschriftart"/>
    <w:next w:val="1056"/>
    <w:link w:val="954"/>
  </w:style>
  <w:style w:type="character" w:styleId="1057">
    <w:name w:val="Основной шрифт абзаца4"/>
    <w:next w:val="1057"/>
    <w:link w:val="954"/>
  </w:style>
  <w:style w:type="character" w:styleId="1058">
    <w:name w:val="WW-Absatz-Standardschriftart1"/>
    <w:next w:val="1058"/>
    <w:link w:val="954"/>
  </w:style>
  <w:style w:type="character" w:styleId="1059">
    <w:name w:val="Основной шрифт абзаца3"/>
    <w:next w:val="1059"/>
    <w:link w:val="954"/>
  </w:style>
  <w:style w:type="character" w:styleId="1060">
    <w:name w:val="WW-Absatz-Standardschriftart11"/>
    <w:next w:val="1060"/>
    <w:link w:val="954"/>
  </w:style>
  <w:style w:type="character" w:styleId="1061">
    <w:name w:val="WW-Absatz-Standardschriftart111"/>
    <w:next w:val="1061"/>
    <w:link w:val="954"/>
  </w:style>
  <w:style w:type="character" w:styleId="1062">
    <w:name w:val="Основной шрифт абзаца2"/>
    <w:next w:val="1062"/>
    <w:link w:val="954"/>
  </w:style>
  <w:style w:type="character" w:styleId="1063">
    <w:name w:val="WW-Absatz-Standardschriftart1111"/>
    <w:next w:val="1063"/>
    <w:link w:val="954"/>
  </w:style>
  <w:style w:type="character" w:styleId="1064">
    <w:name w:val="WW8Num1z0"/>
    <w:next w:val="1064"/>
    <w:link w:val="954"/>
    <w:rPr>
      <w:rFonts w:ascii="Symbol" w:hAnsi="Symbol"/>
    </w:rPr>
  </w:style>
  <w:style w:type="character" w:styleId="1065">
    <w:name w:val="WW8Num3z0"/>
    <w:next w:val="1065"/>
    <w:link w:val="954"/>
    <w:rPr>
      <w:sz w:val="24"/>
    </w:rPr>
  </w:style>
  <w:style w:type="character" w:styleId="1066">
    <w:name w:val="WW8Num6z0"/>
    <w:next w:val="1066"/>
    <w:link w:val="954"/>
    <w:rPr>
      <w:rFonts w:ascii="Times New Roman" w:hAnsi="Times New Roman" w:eastAsia="Times New Roman"/>
    </w:rPr>
  </w:style>
  <w:style w:type="character" w:styleId="1067">
    <w:name w:val="WW8Num6z1"/>
    <w:next w:val="1067"/>
    <w:link w:val="954"/>
    <w:rPr>
      <w:rFonts w:ascii="Courier New" w:hAnsi="Courier New" w:cs="Courier New"/>
    </w:rPr>
  </w:style>
  <w:style w:type="character" w:styleId="1068">
    <w:name w:val="WW8Num6z2"/>
    <w:next w:val="1068"/>
    <w:link w:val="954"/>
    <w:rPr>
      <w:rFonts w:ascii="Wingdings" w:hAnsi="Wingdings" w:cs="Times New Roman"/>
    </w:rPr>
  </w:style>
  <w:style w:type="character" w:styleId="1069">
    <w:name w:val="WW8Num6z3"/>
    <w:next w:val="1069"/>
    <w:link w:val="954"/>
    <w:rPr>
      <w:rFonts w:ascii="Symbol" w:hAnsi="Symbol" w:cs="Times New Roman"/>
    </w:rPr>
  </w:style>
  <w:style w:type="character" w:styleId="1070">
    <w:name w:val="WW8Num8z0"/>
    <w:next w:val="1070"/>
    <w:link w:val="954"/>
    <w:rPr>
      <w:rFonts w:ascii="Symbol" w:hAnsi="Symbol"/>
    </w:rPr>
  </w:style>
  <w:style w:type="character" w:styleId="1071">
    <w:name w:val="WW8Num8z1"/>
    <w:next w:val="1071"/>
    <w:link w:val="954"/>
    <w:rPr>
      <w:rFonts w:ascii="Courier New" w:hAnsi="Courier New"/>
    </w:rPr>
  </w:style>
  <w:style w:type="character" w:styleId="1072">
    <w:name w:val="WW8Num8z2"/>
    <w:next w:val="1072"/>
    <w:link w:val="954"/>
    <w:rPr>
      <w:rFonts w:ascii="Wingdings" w:hAnsi="Wingdings"/>
    </w:rPr>
  </w:style>
  <w:style w:type="character" w:styleId="1073">
    <w:name w:val="Основной шрифт абзаца1"/>
    <w:next w:val="1073"/>
    <w:link w:val="954"/>
  </w:style>
  <w:style w:type="paragraph" w:styleId="1074">
    <w:name w:val="Заголовок"/>
    <w:basedOn w:val="954"/>
    <w:next w:val="983"/>
    <w:link w:val="954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1075">
    <w:name w:val="Список"/>
    <w:basedOn w:val="983"/>
    <w:next w:val="1075"/>
    <w:link w:val="954"/>
    <w:rPr>
      <w:rFonts w:ascii="Arial" w:hAnsi="Arial" w:cs="Tahoma"/>
      <w:lang w:eastAsia="ar-SA"/>
    </w:rPr>
  </w:style>
  <w:style w:type="paragraph" w:styleId="1076">
    <w:name w:val="Название4"/>
    <w:basedOn w:val="954"/>
    <w:next w:val="1076"/>
    <w:link w:val="95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77">
    <w:name w:val="Указатель4"/>
    <w:basedOn w:val="954"/>
    <w:next w:val="1077"/>
    <w:link w:val="954"/>
    <w:pPr>
      <w:suppressLineNumbers/>
    </w:pPr>
    <w:rPr>
      <w:rFonts w:ascii="Arial" w:hAnsi="Arial" w:cs="Tahoma"/>
      <w:lang w:eastAsia="ar-SA"/>
    </w:rPr>
  </w:style>
  <w:style w:type="paragraph" w:styleId="1078">
    <w:name w:val="Название3"/>
    <w:basedOn w:val="954"/>
    <w:next w:val="1078"/>
    <w:link w:val="95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79">
    <w:name w:val="Указатель3"/>
    <w:basedOn w:val="954"/>
    <w:next w:val="1079"/>
    <w:link w:val="954"/>
    <w:pPr>
      <w:suppressLineNumbers/>
    </w:pPr>
    <w:rPr>
      <w:rFonts w:ascii="Arial" w:hAnsi="Arial" w:cs="Tahoma"/>
      <w:lang w:eastAsia="ar-SA"/>
    </w:rPr>
  </w:style>
  <w:style w:type="paragraph" w:styleId="1080">
    <w:name w:val="Название2"/>
    <w:basedOn w:val="954"/>
    <w:next w:val="1080"/>
    <w:link w:val="95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81">
    <w:name w:val="Указатель2"/>
    <w:basedOn w:val="954"/>
    <w:next w:val="1081"/>
    <w:link w:val="954"/>
    <w:pPr>
      <w:suppressLineNumbers/>
    </w:pPr>
    <w:rPr>
      <w:rFonts w:ascii="Arial" w:hAnsi="Arial" w:cs="Tahoma"/>
      <w:lang w:eastAsia="ar-SA"/>
    </w:rPr>
  </w:style>
  <w:style w:type="paragraph" w:styleId="1082">
    <w:name w:val="Название1"/>
    <w:basedOn w:val="954"/>
    <w:next w:val="1082"/>
    <w:link w:val="95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83">
    <w:name w:val="Указатель1"/>
    <w:basedOn w:val="954"/>
    <w:next w:val="1083"/>
    <w:link w:val="954"/>
    <w:pPr>
      <w:suppressLineNumbers/>
    </w:pPr>
    <w:rPr>
      <w:rFonts w:ascii="Arial" w:hAnsi="Arial" w:cs="Tahoma"/>
      <w:lang w:eastAsia="ar-SA"/>
    </w:rPr>
  </w:style>
  <w:style w:type="paragraph" w:styleId="1084">
    <w:name w:val="заголовок 1"/>
    <w:basedOn w:val="954"/>
    <w:next w:val="954"/>
    <w:link w:val="954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085">
    <w:name w:val="заголовок 2"/>
    <w:basedOn w:val="954"/>
    <w:next w:val="954"/>
    <w:link w:val="954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086">
    <w:name w:val="Основной текст с отступом 21"/>
    <w:basedOn w:val="954"/>
    <w:next w:val="1086"/>
    <w:link w:val="954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087">
    <w:name w:val="Маркированный список 31"/>
    <w:basedOn w:val="954"/>
    <w:next w:val="1087"/>
    <w:link w:val="954"/>
    <w:pPr>
      <w:ind w:left="849" w:hanging="283"/>
    </w:pPr>
    <w:rPr>
      <w:lang w:eastAsia="ar-SA"/>
    </w:rPr>
  </w:style>
  <w:style w:type="paragraph" w:styleId="1088">
    <w:name w:val="font5"/>
    <w:basedOn w:val="954"/>
    <w:next w:val="1088"/>
    <w:link w:val="95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089">
    <w:name w:val="font6"/>
    <w:basedOn w:val="954"/>
    <w:next w:val="1089"/>
    <w:link w:val="954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090">
    <w:name w:val="font7"/>
    <w:basedOn w:val="954"/>
    <w:next w:val="1090"/>
    <w:link w:val="95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091">
    <w:name w:val="xl24"/>
    <w:basedOn w:val="954"/>
    <w:next w:val="1091"/>
    <w:link w:val="954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092">
    <w:name w:val="xl25"/>
    <w:basedOn w:val="954"/>
    <w:next w:val="1092"/>
    <w:link w:val="954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093">
    <w:name w:val="xl26"/>
    <w:basedOn w:val="954"/>
    <w:next w:val="1093"/>
    <w:link w:val="954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094">
    <w:name w:val="xl27"/>
    <w:basedOn w:val="954"/>
    <w:next w:val="1094"/>
    <w:link w:val="954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095">
    <w:name w:val="xl28"/>
    <w:basedOn w:val="954"/>
    <w:next w:val="1095"/>
    <w:link w:val="954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096">
    <w:name w:val="xl29"/>
    <w:basedOn w:val="954"/>
    <w:next w:val="1096"/>
    <w:link w:val="954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097">
    <w:name w:val="xl30"/>
    <w:basedOn w:val="954"/>
    <w:next w:val="1097"/>
    <w:link w:val="954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098">
    <w:name w:val="xl31"/>
    <w:basedOn w:val="954"/>
    <w:next w:val="1098"/>
    <w:link w:val="954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099">
    <w:name w:val="xl32"/>
    <w:basedOn w:val="954"/>
    <w:next w:val="1099"/>
    <w:link w:val="95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00">
    <w:name w:val="xl33"/>
    <w:basedOn w:val="954"/>
    <w:next w:val="1100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101">
    <w:name w:val="xl34"/>
    <w:basedOn w:val="954"/>
    <w:next w:val="1101"/>
    <w:link w:val="95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02">
    <w:name w:val="xl35"/>
    <w:basedOn w:val="954"/>
    <w:next w:val="1102"/>
    <w:link w:val="954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03">
    <w:name w:val="xl36"/>
    <w:basedOn w:val="954"/>
    <w:next w:val="1103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104">
    <w:name w:val="FR2"/>
    <w:next w:val="1104"/>
    <w:link w:val="954"/>
    <w:pPr>
      <w:widowControl w:val="off"/>
    </w:pPr>
    <w:rPr>
      <w:rFonts w:ascii="Arial" w:hAnsi="Arial" w:cs="Arial"/>
      <w:b/>
      <w:bCs/>
      <w:sz w:val="18"/>
      <w:szCs w:val="18"/>
      <w:lang w:val="ru-RU" w:eastAsia="ar-SA" w:bidi="ar-SA"/>
    </w:rPr>
  </w:style>
  <w:style w:type="paragraph" w:styleId="1105">
    <w:name w:val="xl37"/>
    <w:basedOn w:val="954"/>
    <w:next w:val="1105"/>
    <w:link w:val="954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6">
    <w:name w:val="xl38"/>
    <w:basedOn w:val="954"/>
    <w:next w:val="1106"/>
    <w:link w:val="95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7">
    <w:name w:val="xl39"/>
    <w:basedOn w:val="954"/>
    <w:next w:val="1107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8">
    <w:name w:val="xl40"/>
    <w:basedOn w:val="954"/>
    <w:next w:val="1108"/>
    <w:link w:val="95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9">
    <w:name w:val="xl41"/>
    <w:basedOn w:val="954"/>
    <w:next w:val="1109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0">
    <w:name w:val="xl42"/>
    <w:basedOn w:val="954"/>
    <w:next w:val="1110"/>
    <w:link w:val="954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111">
    <w:name w:val="xl43"/>
    <w:basedOn w:val="954"/>
    <w:next w:val="1111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2">
    <w:name w:val="xl44"/>
    <w:basedOn w:val="954"/>
    <w:next w:val="1112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3">
    <w:name w:val="xl45"/>
    <w:basedOn w:val="954"/>
    <w:next w:val="1113"/>
    <w:link w:val="9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4">
    <w:name w:val="xl46"/>
    <w:basedOn w:val="954"/>
    <w:next w:val="1114"/>
    <w:link w:val="9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115">
    <w:name w:val="xl47"/>
    <w:basedOn w:val="954"/>
    <w:next w:val="1115"/>
    <w:link w:val="9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6">
    <w:name w:val="xl48"/>
    <w:basedOn w:val="954"/>
    <w:next w:val="1116"/>
    <w:link w:val="954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7">
    <w:name w:val="xl49"/>
    <w:basedOn w:val="954"/>
    <w:next w:val="1117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8">
    <w:name w:val="xl50"/>
    <w:basedOn w:val="954"/>
    <w:next w:val="1118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9">
    <w:name w:val="xl51"/>
    <w:basedOn w:val="954"/>
    <w:next w:val="1119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0">
    <w:name w:val="xl52"/>
    <w:basedOn w:val="954"/>
    <w:next w:val="1120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1">
    <w:name w:val="xl53"/>
    <w:basedOn w:val="954"/>
    <w:next w:val="1121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2">
    <w:name w:val="xl54"/>
    <w:basedOn w:val="954"/>
    <w:next w:val="1122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3">
    <w:name w:val="xl55"/>
    <w:basedOn w:val="954"/>
    <w:next w:val="1123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4">
    <w:name w:val="xl56"/>
    <w:basedOn w:val="954"/>
    <w:next w:val="1124"/>
    <w:link w:val="954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5">
    <w:name w:val="xl57"/>
    <w:basedOn w:val="954"/>
    <w:next w:val="1125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6">
    <w:name w:val="xl58"/>
    <w:basedOn w:val="954"/>
    <w:next w:val="1126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7">
    <w:name w:val="xl59"/>
    <w:basedOn w:val="954"/>
    <w:next w:val="1127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8">
    <w:name w:val="xl60"/>
    <w:basedOn w:val="954"/>
    <w:next w:val="1128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9">
    <w:name w:val="xl61"/>
    <w:basedOn w:val="954"/>
    <w:next w:val="1129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0">
    <w:name w:val="xl62"/>
    <w:basedOn w:val="954"/>
    <w:next w:val="1130"/>
    <w:link w:val="9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1">
    <w:name w:val="xl63"/>
    <w:basedOn w:val="954"/>
    <w:next w:val="1131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2">
    <w:name w:val="xl64"/>
    <w:basedOn w:val="954"/>
    <w:next w:val="1132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3">
    <w:name w:val="xl65"/>
    <w:basedOn w:val="954"/>
    <w:next w:val="1133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4">
    <w:name w:val="xl66"/>
    <w:basedOn w:val="954"/>
    <w:next w:val="1134"/>
    <w:link w:val="9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5">
    <w:name w:val="xl67"/>
    <w:basedOn w:val="954"/>
    <w:next w:val="1135"/>
    <w:link w:val="9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6">
    <w:name w:val="xl68"/>
    <w:basedOn w:val="954"/>
    <w:next w:val="1136"/>
    <w:link w:val="9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7">
    <w:name w:val="xl69"/>
    <w:basedOn w:val="954"/>
    <w:next w:val="1137"/>
    <w:link w:val="9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8">
    <w:name w:val="Заголовок таблицы"/>
    <w:basedOn w:val="1027"/>
    <w:next w:val="1138"/>
    <w:link w:val="954"/>
    <w:pPr>
      <w:jc w:val="center"/>
    </w:pPr>
    <w:rPr>
      <w:b/>
      <w:bCs/>
      <w:sz w:val="20"/>
      <w:szCs w:val="20"/>
    </w:rPr>
  </w:style>
  <w:style w:type="paragraph" w:styleId="1139">
    <w:name w:val="Схема документа"/>
    <w:basedOn w:val="954"/>
    <w:next w:val="1139"/>
    <w:link w:val="954"/>
    <w:rPr>
      <w:rFonts w:ascii="Tahoma" w:hAnsi="Tahoma" w:cs="Tahoma"/>
      <w:sz w:val="16"/>
      <w:szCs w:val="16"/>
      <w:lang w:eastAsia="ar-SA"/>
    </w:rPr>
  </w:style>
  <w:style w:type="paragraph" w:styleId="1140">
    <w:name w:val=" Знак Знак Char Char"/>
    <w:basedOn w:val="954"/>
    <w:next w:val="1140"/>
    <w:link w:val="954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41">
    <w:name w:val="Знак Знак Знак2 Знак1"/>
    <w:basedOn w:val="954"/>
    <w:next w:val="1141"/>
    <w:link w:val="95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42">
    <w:name w:val="Маркированный список 2"/>
    <w:basedOn w:val="954"/>
    <w:next w:val="1142"/>
    <w:link w:val="954"/>
    <w:pPr>
      <w:numPr>
        <w:ilvl w:val="0"/>
        <w:numId w:val="6"/>
      </w:numPr>
    </w:pPr>
  </w:style>
  <w:style w:type="paragraph" w:styleId="1143">
    <w:name w:val="Пункт_2"/>
    <w:basedOn w:val="954"/>
    <w:next w:val="1143"/>
    <w:link w:val="954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44">
    <w:name w:val="Список 2"/>
    <w:basedOn w:val="954"/>
    <w:next w:val="1144"/>
    <w:link w:val="954"/>
    <w:pPr>
      <w:ind w:left="566" w:hanging="283"/>
    </w:pPr>
  </w:style>
  <w:style w:type="paragraph" w:styleId="1145">
    <w:name w:val="Маркированный список 4"/>
    <w:basedOn w:val="954"/>
    <w:next w:val="1145"/>
    <w:link w:val="954"/>
    <w:pPr>
      <w:numPr>
        <w:ilvl w:val="0"/>
        <w:numId w:val="10"/>
      </w:numPr>
    </w:pPr>
  </w:style>
  <w:style w:type="paragraph" w:styleId="1146">
    <w:name w:val="Список 4"/>
    <w:basedOn w:val="954"/>
    <w:next w:val="1146"/>
    <w:link w:val="954"/>
    <w:pPr>
      <w:ind w:left="1132" w:hanging="283"/>
    </w:pPr>
  </w:style>
  <w:style w:type="paragraph" w:styleId="1147">
    <w:name w:val="Список 3"/>
    <w:basedOn w:val="954"/>
    <w:next w:val="1147"/>
    <w:link w:val="954"/>
    <w:pPr>
      <w:ind w:left="849" w:hanging="283"/>
    </w:pPr>
  </w:style>
  <w:style w:type="paragraph" w:styleId="1148">
    <w:name w:val="Продолжение списка 3"/>
    <w:basedOn w:val="954"/>
    <w:next w:val="1148"/>
    <w:link w:val="954"/>
    <w:pPr>
      <w:ind w:left="849"/>
      <w:spacing w:after="120"/>
    </w:pPr>
  </w:style>
  <w:style w:type="paragraph" w:styleId="1149">
    <w:name w:val="Красная строка 2"/>
    <w:basedOn w:val="987"/>
    <w:next w:val="1149"/>
    <w:link w:val="954"/>
    <w:pPr>
      <w:ind w:firstLine="210"/>
    </w:pPr>
  </w:style>
  <w:style w:type="character" w:styleId="1150">
    <w:name w:val="Текст Знак"/>
    <w:next w:val="1150"/>
    <w:link w:val="1045"/>
    <w:uiPriority w:val="99"/>
    <w:rPr>
      <w:rFonts w:ascii="Courier New" w:hAnsi="Courier New"/>
      <w:szCs w:val="24"/>
    </w:rPr>
  </w:style>
  <w:style w:type="paragraph" w:styleId="1151">
    <w:name w:val=" Знак Знак Знак2 Знак1 Знак Знак Знак Знак Знак Знак Знак Знак"/>
    <w:basedOn w:val="954"/>
    <w:next w:val="1151"/>
    <w:link w:val="9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52">
    <w:name w:val="Знак примечания"/>
    <w:next w:val="1152"/>
    <w:link w:val="954"/>
    <w:rPr>
      <w:sz w:val="16"/>
      <w:szCs w:val="16"/>
    </w:rPr>
  </w:style>
  <w:style w:type="paragraph" w:styleId="1153">
    <w:name w:val="Текст примечания"/>
    <w:basedOn w:val="954"/>
    <w:next w:val="1153"/>
    <w:link w:val="1154"/>
  </w:style>
  <w:style w:type="character" w:styleId="1154">
    <w:name w:val="Текст примечания Знак"/>
    <w:basedOn w:val="964"/>
    <w:next w:val="1154"/>
    <w:link w:val="1153"/>
  </w:style>
  <w:style w:type="paragraph" w:styleId="1155">
    <w:name w:val="Тема примечания"/>
    <w:basedOn w:val="1153"/>
    <w:next w:val="1153"/>
    <w:link w:val="1156"/>
    <w:rPr>
      <w:b/>
      <w:bCs/>
    </w:rPr>
  </w:style>
  <w:style w:type="character" w:styleId="1156">
    <w:name w:val="Тема примечания Знак"/>
    <w:next w:val="1156"/>
    <w:link w:val="1155"/>
    <w:rPr>
      <w:b/>
      <w:bCs/>
    </w:rPr>
  </w:style>
  <w:style w:type="character" w:styleId="1157">
    <w:name w:val="Стандартный HTML Знак"/>
    <w:next w:val="1157"/>
    <w:link w:val="1016"/>
    <w:rPr>
      <w:rFonts w:ascii="Courier New" w:hAnsi="Courier New" w:eastAsia="Courier New" w:cs="Courier New"/>
      <w:color w:val="000000"/>
    </w:rPr>
  </w:style>
  <w:style w:type="character" w:styleId="1158">
    <w:name w:val="Font Style17"/>
    <w:next w:val="1158"/>
    <w:link w:val="954"/>
    <w:uiPriority w:val="99"/>
    <w:rPr>
      <w:rFonts w:ascii="Times New Roman" w:hAnsi="Times New Roman" w:cs="Times New Roman"/>
      <w:sz w:val="20"/>
      <w:szCs w:val="20"/>
    </w:rPr>
  </w:style>
  <w:style w:type="paragraph" w:styleId="1159">
    <w:name w:val="Без интервала"/>
    <w:next w:val="1159"/>
    <w:link w:val="954"/>
    <w:uiPriority w:val="1"/>
    <w:qFormat/>
    <w:pPr>
      <w:widowControl w:val="off"/>
    </w:pPr>
    <w:rPr>
      <w:lang w:val="ru-RU" w:eastAsia="ru-RU" w:bidi="ar-SA"/>
    </w:rPr>
  </w:style>
  <w:style w:type="character" w:styleId="1160">
    <w:name w:val="Абзац списка Знак,Table-Normal Знак,RSHB_Table-Normal Знак,Заголовок_3 Знак,Подпись рисунка Знак,Алроса_маркер (Уровень 4) Знак,Маркер Знак,ПАРАГРАФ Знак,Абзац списка2 Знак,Bullet List Знак,FooterText Знак,numbered Знак,Абзац основного текста Знак"/>
    <w:next w:val="1160"/>
    <w:link w:val="1035"/>
    <w:uiPriority w:val="34"/>
    <w:qFormat/>
    <w:rPr>
      <w:sz w:val="24"/>
      <w:szCs w:val="24"/>
    </w:rPr>
  </w:style>
  <w:style w:type="paragraph" w:styleId="1161">
    <w:name w:val="Нумерованный список ур3"/>
    <w:basedOn w:val="954"/>
    <w:next w:val="1161"/>
    <w:link w:val="954"/>
    <w:pPr>
      <w:numPr>
        <w:ilvl w:val="2"/>
        <w:numId w:val="28"/>
      </w:numPr>
      <w:jc w:val="both"/>
    </w:pPr>
    <w:rPr>
      <w:rFonts w:ascii="Garamond" w:hAnsi="Garamond"/>
      <w:sz w:val="24"/>
    </w:rPr>
  </w:style>
  <w:style w:type="paragraph" w:styleId="1162">
    <w:name w:val="Нумерованный список 1"/>
    <w:basedOn w:val="954"/>
    <w:next w:val="1162"/>
    <w:link w:val="954"/>
    <w:pPr>
      <w:numPr>
        <w:ilvl w:val="0"/>
        <w:numId w:val="28"/>
      </w:numPr>
      <w:jc w:val="both"/>
      <w:spacing w:before="120"/>
    </w:pPr>
    <w:rPr>
      <w:rFonts w:ascii="Garamond" w:hAnsi="Garamond"/>
      <w:sz w:val="24"/>
    </w:rPr>
  </w:style>
  <w:style w:type="paragraph" w:styleId="1163">
    <w:name w:val="Нумерованный список ур2"/>
    <w:basedOn w:val="954"/>
    <w:next w:val="1163"/>
    <w:link w:val="954"/>
    <w:pPr>
      <w:numPr>
        <w:ilvl w:val="1"/>
        <w:numId w:val="28"/>
      </w:numPr>
      <w:jc w:val="both"/>
      <w:spacing w:before="120"/>
    </w:pPr>
    <w:rPr>
      <w:rFonts w:ascii="Garamond" w:hAnsi="Garamond"/>
      <w:sz w:val="24"/>
    </w:rPr>
  </w:style>
  <w:style w:type="character" w:styleId="1164" w:default="1">
    <w:name w:val="Default Paragraph Font"/>
    <w:uiPriority w:val="1"/>
    <w:semiHidden/>
    <w:unhideWhenUsed/>
  </w:style>
  <w:style w:type="numbering" w:styleId="1165" w:default="1">
    <w:name w:val="No List"/>
    <w:uiPriority w:val="99"/>
    <w:semiHidden/>
    <w:unhideWhenUsed/>
  </w:style>
  <w:style w:type="table" w:styleId="11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revision>90</cp:revision>
  <dcterms:created xsi:type="dcterms:W3CDTF">2021-08-16T07:28:00Z</dcterms:created>
  <dcterms:modified xsi:type="dcterms:W3CDTF">2024-08-29T00:07:41Z</dcterms:modified>
  <cp:version>1048576</cp:version>
</cp:coreProperties>
</file>